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75F55" w14:textId="77777777" w:rsidR="004E6028" w:rsidRPr="00BD1CC1" w:rsidRDefault="004E6028" w:rsidP="004E6028">
      <w:pPr>
        <w:pStyle w:val="BodyText"/>
        <w:rPr>
          <w:sz w:val="6"/>
          <w:szCs w:val="6"/>
        </w:rPr>
      </w:pPr>
      <w:r w:rsidRPr="00BD1CC1">
        <w:rPr>
          <w:noProof/>
        </w:rPr>
        <w:drawing>
          <wp:inline distT="0" distB="0" distL="0" distR="0" wp14:anchorId="7EECE494" wp14:editId="6109FD9F">
            <wp:extent cx="1661840" cy="187991"/>
            <wp:effectExtent l="0" t="0" r="0" b="2540"/>
            <wp:docPr id="603346383" name="Picture 603346383"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4E6028" w:rsidRPr="00BD1CC1" w14:paraId="5A0784E5" w14:textId="77777777" w:rsidTr="004445CA">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0C11321" w14:textId="77777777" w:rsidR="004E6028" w:rsidRPr="00EC47B6" w:rsidRDefault="004E6028" w:rsidP="004445CA">
            <w:pPr>
              <w:pStyle w:val="RefTableData"/>
            </w:pPr>
            <w:r w:rsidRPr="00F246C7">
              <w:t>Reference number(s</w:t>
            </w:r>
            <w:r w:rsidRPr="00EC47B6">
              <w:t>)</w:t>
            </w:r>
          </w:p>
        </w:tc>
      </w:tr>
      <w:tr w:rsidR="004E6028" w:rsidRPr="00BD1CC1" w14:paraId="3676EA5A" w14:textId="77777777" w:rsidTr="004445CA">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6D822FF6" w14:textId="04027E2B" w:rsidR="004E6028" w:rsidRPr="00FF66BF" w:rsidRDefault="004E6028" w:rsidP="004445CA">
            <w:pPr>
              <w:pStyle w:val="RefTableHeader"/>
            </w:pPr>
            <w:r>
              <w:t>77-C</w:t>
            </w:r>
          </w:p>
        </w:tc>
      </w:tr>
    </w:tbl>
    <w:p w14:paraId="6FB3699A" w14:textId="77777777" w:rsidR="00443A55" w:rsidRPr="00443A55" w:rsidRDefault="00443A55" w:rsidP="00443A55">
      <w:pPr>
        <w:pStyle w:val="Heading1"/>
        <w:spacing w:after="0"/>
        <w:rPr>
          <w:sz w:val="16"/>
          <w:szCs w:val="16"/>
        </w:rPr>
        <w:sectPr w:rsidR="00443A55" w:rsidRPr="00443A55" w:rsidSect="009C3CD5">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7C2539BF" w:rsidR="004B15BB" w:rsidRPr="00C27EA6" w:rsidRDefault="000A11B6" w:rsidP="007E5C16">
      <w:pPr>
        <w:pStyle w:val="Heading1"/>
      </w:pPr>
      <w:r>
        <w:t xml:space="preserve">Initial </w:t>
      </w:r>
      <w:r w:rsidR="007B4584" w:rsidRPr="00C27EA6">
        <w:t>P</w:t>
      </w:r>
      <w:r w:rsidR="00C27EA6" w:rsidRPr="00C27EA6">
        <w:t>rior</w:t>
      </w:r>
      <w:r w:rsidR="007B4584" w:rsidRPr="00C27EA6">
        <w:t xml:space="preserve"> A</w:t>
      </w:r>
      <w:r w:rsidR="00C27EA6" w:rsidRPr="00C27EA6">
        <w:t>uthorization</w:t>
      </w:r>
      <w:r>
        <w:br/>
        <w:t>with Quantity Limit</w:t>
      </w:r>
      <w:r w:rsidR="002967E1">
        <w:br/>
        <w:t>Antiemetic Neurokinin-1 (NK1)</w:t>
      </w:r>
      <w:r w:rsidR="008C54D9" w:rsidRPr="00C27EA6">
        <w:br/>
      </w:r>
      <w:r w:rsidR="005975D8" w:rsidRPr="00C27EA6">
        <w:t>A</w:t>
      </w:r>
      <w:r w:rsidR="00C27EA6" w:rsidRPr="00C27EA6">
        <w:t>ntiemetic</w:t>
      </w:r>
      <w:r w:rsidR="005975D8" w:rsidRPr="00C27EA6">
        <w:t xml:space="preserve"> A</w:t>
      </w:r>
      <w:r w:rsidR="00C27EA6" w:rsidRPr="00C27EA6">
        <w:t>gents</w:t>
      </w:r>
      <w:r w:rsidR="005975D8" w:rsidRPr="00C27EA6">
        <w:t xml:space="preserve"> – NK1 R</w:t>
      </w:r>
      <w:r w:rsidR="00C27EA6" w:rsidRPr="00C27EA6">
        <w:t>eceptor</w:t>
      </w:r>
      <w:r w:rsidR="002B1FB8">
        <w:br/>
      </w:r>
      <w:r w:rsidR="005975D8" w:rsidRPr="00C27EA6">
        <w:t>A</w:t>
      </w:r>
      <w:r w:rsidR="00C27EA6" w:rsidRPr="00C27EA6">
        <w:t>ntagonists</w:t>
      </w:r>
    </w:p>
    <w:p w14:paraId="78861C92" w14:textId="27DE247A" w:rsidR="00203468" w:rsidRPr="00C27EA6" w:rsidRDefault="00C64534" w:rsidP="008E0F0D">
      <w:pPr>
        <w:pStyle w:val="Heading2"/>
      </w:pPr>
      <w:r w:rsidRPr="00C27EA6">
        <w:t xml:space="preserve">Products Referenced by this </w:t>
      </w:r>
      <w:r w:rsidR="00501602" w:rsidRPr="00C27EA6">
        <w:t>Document</w:t>
      </w:r>
    </w:p>
    <w:p w14:paraId="5455152B" w14:textId="6CE5F710" w:rsidR="008E0F0D" w:rsidRPr="00C27EA6" w:rsidRDefault="00D82D85" w:rsidP="008B73E8">
      <w:pPr>
        <w:pStyle w:val="BodyText"/>
      </w:pPr>
      <w:r w:rsidRPr="00C27EA6">
        <w:t xml:space="preserve">Drugs that are listed in the </w:t>
      </w:r>
      <w:r w:rsidR="000315F1" w:rsidRPr="00C27EA6">
        <w:t>following table</w:t>
      </w:r>
      <w:r w:rsidRPr="00C27EA6">
        <w:t xml:space="preserve"> include both brand and generic and all dosage forms and strengths unless otherwise stated. </w:t>
      </w:r>
      <w:r w:rsidR="000A11B6">
        <w:t>Over-the-counter (</w:t>
      </w:r>
      <w:r w:rsidRPr="00C27EA6">
        <w:t>OTC</w:t>
      </w:r>
      <w:r w:rsidR="000A11B6">
        <w:t>)</w:t>
      </w:r>
      <w:r w:rsidRPr="00C27EA6">
        <w:t xml:space="preserve"> products are not included unless otherwise stated.</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3590"/>
        <w:gridCol w:w="3590"/>
        <w:gridCol w:w="3590"/>
      </w:tblGrid>
      <w:tr w:rsidR="000A11B6" w:rsidRPr="00C27EA6" w14:paraId="158421F8" w14:textId="52C182B2" w:rsidTr="008F2A4C">
        <w:trPr>
          <w:cantSplit/>
          <w:trHeight w:val="288"/>
          <w:tblHeader/>
        </w:trPr>
        <w:tc>
          <w:tcPr>
            <w:tcW w:w="3590" w:type="dxa"/>
            <w:vAlign w:val="center"/>
          </w:tcPr>
          <w:p w14:paraId="2A27354A" w14:textId="1390179E" w:rsidR="000A11B6" w:rsidRPr="00C27EA6" w:rsidRDefault="000A11B6" w:rsidP="00AA1E6A">
            <w:pPr>
              <w:pStyle w:val="TableHeader"/>
            </w:pPr>
            <w:bookmarkStart w:id="0" w:name="_Hlk159603270"/>
            <w:r w:rsidRPr="00C27EA6">
              <w:t>Brand Name</w:t>
            </w:r>
          </w:p>
        </w:tc>
        <w:tc>
          <w:tcPr>
            <w:tcW w:w="3590" w:type="dxa"/>
            <w:vAlign w:val="center"/>
          </w:tcPr>
          <w:p w14:paraId="3D342BE1" w14:textId="75F11EF1" w:rsidR="000A11B6" w:rsidRPr="00C27EA6" w:rsidRDefault="000A11B6" w:rsidP="00AA1E6A">
            <w:pPr>
              <w:pStyle w:val="TableHeader"/>
            </w:pPr>
            <w:r w:rsidRPr="00C27EA6">
              <w:t>Generic Name</w:t>
            </w:r>
          </w:p>
        </w:tc>
        <w:tc>
          <w:tcPr>
            <w:tcW w:w="3590" w:type="dxa"/>
          </w:tcPr>
          <w:p w14:paraId="64BFBCC1" w14:textId="6427DC35" w:rsidR="000A11B6" w:rsidRPr="00C27EA6" w:rsidRDefault="000A11B6" w:rsidP="00AA1E6A">
            <w:pPr>
              <w:pStyle w:val="TableHeader"/>
            </w:pPr>
            <w:r>
              <w:t>Dosage Form</w:t>
            </w:r>
          </w:p>
        </w:tc>
      </w:tr>
      <w:tr w:rsidR="000A11B6" w:rsidRPr="00C27EA6" w14:paraId="2AD5C02D" w14:textId="79CBE404" w:rsidTr="008F2A4C">
        <w:trPr>
          <w:cantSplit/>
        </w:trPr>
        <w:tc>
          <w:tcPr>
            <w:tcW w:w="3590" w:type="dxa"/>
          </w:tcPr>
          <w:p w14:paraId="2D8FA8E3" w14:textId="405AB212" w:rsidR="000A11B6" w:rsidRPr="00C27EA6" w:rsidRDefault="008F2D37" w:rsidP="00951DE4">
            <w:pPr>
              <w:pStyle w:val="TableDataUnpadded"/>
            </w:pPr>
            <w:r w:rsidRPr="00C27EA6">
              <w:t>aprepitant</w:t>
            </w:r>
            <w:r>
              <w:t xml:space="preserve"> (</w:t>
            </w:r>
            <w:r w:rsidR="002967E1">
              <w:t>brand unavailable</w:t>
            </w:r>
            <w:r>
              <w:t>)</w:t>
            </w:r>
          </w:p>
        </w:tc>
        <w:tc>
          <w:tcPr>
            <w:tcW w:w="3590" w:type="dxa"/>
          </w:tcPr>
          <w:p w14:paraId="7E26A004" w14:textId="3D32D58A" w:rsidR="000A11B6" w:rsidRPr="00C27EA6" w:rsidRDefault="000A11B6" w:rsidP="00951DE4">
            <w:pPr>
              <w:pStyle w:val="TableDataUnpadded"/>
            </w:pPr>
            <w:r w:rsidRPr="00C27EA6">
              <w:t>aprepitant</w:t>
            </w:r>
          </w:p>
        </w:tc>
        <w:tc>
          <w:tcPr>
            <w:tcW w:w="3590" w:type="dxa"/>
          </w:tcPr>
          <w:p w14:paraId="1DF7609F" w14:textId="1A92CFCA" w:rsidR="000A11B6" w:rsidRPr="00C27EA6" w:rsidRDefault="008F2D37" w:rsidP="00951DE4">
            <w:pPr>
              <w:pStyle w:val="TableDataUnpadded"/>
            </w:pPr>
            <w:r>
              <w:t>all</w:t>
            </w:r>
          </w:p>
        </w:tc>
      </w:tr>
      <w:tr w:rsidR="000A11B6" w:rsidRPr="00C27EA6" w14:paraId="79C2A122" w14:textId="2B8D867E" w:rsidTr="008F2A4C">
        <w:trPr>
          <w:cantSplit/>
        </w:trPr>
        <w:tc>
          <w:tcPr>
            <w:tcW w:w="3590" w:type="dxa"/>
          </w:tcPr>
          <w:p w14:paraId="08001603" w14:textId="02103DB7" w:rsidR="000A11B6" w:rsidRPr="00C27EA6" w:rsidRDefault="000A11B6" w:rsidP="00951DE4">
            <w:pPr>
              <w:pStyle w:val="TableDataUnpadded"/>
            </w:pPr>
            <w:r w:rsidRPr="00C27EA6">
              <w:t>Cinvanti</w:t>
            </w:r>
          </w:p>
        </w:tc>
        <w:tc>
          <w:tcPr>
            <w:tcW w:w="3590" w:type="dxa"/>
          </w:tcPr>
          <w:p w14:paraId="26C54A5D" w14:textId="4804719A" w:rsidR="000A11B6" w:rsidRPr="00C27EA6" w:rsidRDefault="000A11B6" w:rsidP="00951DE4">
            <w:pPr>
              <w:pStyle w:val="TableDataUnpadded"/>
            </w:pPr>
            <w:r w:rsidRPr="00C27EA6">
              <w:t>aprepitant</w:t>
            </w:r>
          </w:p>
        </w:tc>
        <w:tc>
          <w:tcPr>
            <w:tcW w:w="3590" w:type="dxa"/>
          </w:tcPr>
          <w:p w14:paraId="6F6D5AD9" w14:textId="20777073" w:rsidR="000A11B6" w:rsidRPr="00C27EA6" w:rsidRDefault="008F2D37" w:rsidP="00951DE4">
            <w:pPr>
              <w:pStyle w:val="TableDataUnpadded"/>
            </w:pPr>
            <w:r>
              <w:t>all</w:t>
            </w:r>
          </w:p>
        </w:tc>
      </w:tr>
      <w:tr w:rsidR="000A11B6" w:rsidRPr="00C27EA6" w14:paraId="420A61B5" w14:textId="5C831B97" w:rsidTr="008F2A4C">
        <w:trPr>
          <w:cantSplit/>
        </w:trPr>
        <w:tc>
          <w:tcPr>
            <w:tcW w:w="3590" w:type="dxa"/>
          </w:tcPr>
          <w:p w14:paraId="064084F6" w14:textId="0CC8A970" w:rsidR="000A11B6" w:rsidRPr="00C27EA6" w:rsidRDefault="000A11B6" w:rsidP="00951DE4">
            <w:pPr>
              <w:pStyle w:val="TableDataUnpadded"/>
            </w:pPr>
            <w:r w:rsidRPr="00C27EA6">
              <w:t>Emend</w:t>
            </w:r>
          </w:p>
        </w:tc>
        <w:tc>
          <w:tcPr>
            <w:tcW w:w="3590" w:type="dxa"/>
          </w:tcPr>
          <w:p w14:paraId="5BE6D872" w14:textId="4BDF30A8" w:rsidR="000A11B6" w:rsidRPr="00C27EA6" w:rsidRDefault="000A11B6" w:rsidP="00951DE4">
            <w:pPr>
              <w:pStyle w:val="TableDataUnpadded"/>
            </w:pPr>
            <w:r w:rsidRPr="00C27EA6">
              <w:t>aprepitant</w:t>
            </w:r>
          </w:p>
        </w:tc>
        <w:tc>
          <w:tcPr>
            <w:tcW w:w="3590" w:type="dxa"/>
          </w:tcPr>
          <w:p w14:paraId="2CC66113" w14:textId="058E672C" w:rsidR="000A11B6" w:rsidRPr="00C27EA6" w:rsidRDefault="008F2D37" w:rsidP="00951DE4">
            <w:pPr>
              <w:pStyle w:val="TableDataUnpadded"/>
            </w:pPr>
            <w:r>
              <w:t>all</w:t>
            </w:r>
          </w:p>
        </w:tc>
      </w:tr>
      <w:tr w:rsidR="000A11B6" w:rsidRPr="00C27EA6" w14:paraId="05B67A5E" w14:textId="3A577B57" w:rsidTr="008F2A4C">
        <w:trPr>
          <w:cantSplit/>
        </w:trPr>
        <w:tc>
          <w:tcPr>
            <w:tcW w:w="3590" w:type="dxa"/>
          </w:tcPr>
          <w:p w14:paraId="2D5BDF96" w14:textId="17ADE180" w:rsidR="000A11B6" w:rsidRPr="00C27EA6" w:rsidRDefault="000A11B6" w:rsidP="00951DE4">
            <w:pPr>
              <w:pStyle w:val="TableDataUnpadded"/>
            </w:pPr>
            <w:r w:rsidRPr="00C27EA6">
              <w:t>Emend</w:t>
            </w:r>
          </w:p>
        </w:tc>
        <w:tc>
          <w:tcPr>
            <w:tcW w:w="3590" w:type="dxa"/>
          </w:tcPr>
          <w:p w14:paraId="389D4D97" w14:textId="1BEEF8E7" w:rsidR="000A11B6" w:rsidRPr="00C27EA6" w:rsidRDefault="000A11B6" w:rsidP="00951DE4">
            <w:pPr>
              <w:pStyle w:val="TableDataUnpadded"/>
            </w:pPr>
            <w:r w:rsidRPr="00C27EA6">
              <w:t>fosaprepitant</w:t>
            </w:r>
          </w:p>
        </w:tc>
        <w:tc>
          <w:tcPr>
            <w:tcW w:w="3590" w:type="dxa"/>
          </w:tcPr>
          <w:p w14:paraId="49239225" w14:textId="098B9DF9" w:rsidR="000A11B6" w:rsidRPr="00C27EA6" w:rsidRDefault="008F2D37" w:rsidP="00951DE4">
            <w:pPr>
              <w:pStyle w:val="TableDataUnpadded"/>
            </w:pPr>
            <w:r>
              <w:t>injection</w:t>
            </w:r>
          </w:p>
        </w:tc>
      </w:tr>
      <w:tr w:rsidR="000A11B6" w:rsidRPr="00C27EA6" w14:paraId="40D5B417" w14:textId="0D0CE718" w:rsidTr="008F2A4C">
        <w:trPr>
          <w:cantSplit/>
        </w:trPr>
        <w:tc>
          <w:tcPr>
            <w:tcW w:w="3590" w:type="dxa"/>
          </w:tcPr>
          <w:p w14:paraId="7B56B5F5" w14:textId="2CA3038C" w:rsidR="000A11B6" w:rsidRPr="00C27EA6" w:rsidRDefault="000A11B6" w:rsidP="00951DE4">
            <w:pPr>
              <w:pStyle w:val="TableDataUnpadded"/>
            </w:pPr>
            <w:proofErr w:type="spellStart"/>
            <w:r w:rsidRPr="00C27EA6">
              <w:t>Focinvez</w:t>
            </w:r>
            <w:proofErr w:type="spellEnd"/>
            <w:r w:rsidRPr="00C27EA6">
              <w:t xml:space="preserve"> </w:t>
            </w:r>
          </w:p>
        </w:tc>
        <w:tc>
          <w:tcPr>
            <w:tcW w:w="3590" w:type="dxa"/>
          </w:tcPr>
          <w:p w14:paraId="488F69AC" w14:textId="04B09C0F" w:rsidR="000A11B6" w:rsidRPr="00C27EA6" w:rsidRDefault="000A11B6" w:rsidP="00951DE4">
            <w:pPr>
              <w:pStyle w:val="TableDataUnpadded"/>
            </w:pPr>
            <w:r w:rsidRPr="00C27EA6">
              <w:t>fosaprepitant</w:t>
            </w:r>
          </w:p>
        </w:tc>
        <w:tc>
          <w:tcPr>
            <w:tcW w:w="3590" w:type="dxa"/>
          </w:tcPr>
          <w:p w14:paraId="430A3E2A" w14:textId="4FA3F1B5" w:rsidR="000A11B6" w:rsidRPr="00C27EA6" w:rsidRDefault="008F2D37" w:rsidP="00951DE4">
            <w:pPr>
              <w:pStyle w:val="TableDataUnpadded"/>
            </w:pPr>
            <w:r>
              <w:t>injection</w:t>
            </w:r>
          </w:p>
        </w:tc>
      </w:tr>
      <w:tr w:rsidR="000A11B6" w:rsidRPr="00C27EA6" w14:paraId="6B58C47F" w14:textId="296E8296" w:rsidTr="008F2A4C">
        <w:trPr>
          <w:cantSplit/>
        </w:trPr>
        <w:tc>
          <w:tcPr>
            <w:tcW w:w="3590" w:type="dxa"/>
          </w:tcPr>
          <w:p w14:paraId="6F5B88E3" w14:textId="2055D47A" w:rsidR="000A11B6" w:rsidRPr="00C27EA6" w:rsidRDefault="000A11B6" w:rsidP="00951DE4">
            <w:pPr>
              <w:pStyle w:val="TableDataUnpadded"/>
            </w:pPr>
            <w:proofErr w:type="spellStart"/>
            <w:r w:rsidRPr="00C27EA6">
              <w:t>Varubi</w:t>
            </w:r>
            <w:proofErr w:type="spellEnd"/>
          </w:p>
        </w:tc>
        <w:tc>
          <w:tcPr>
            <w:tcW w:w="3590" w:type="dxa"/>
          </w:tcPr>
          <w:p w14:paraId="259F4CF9" w14:textId="51995B21" w:rsidR="000A11B6" w:rsidRPr="00C27EA6" w:rsidRDefault="000A11B6" w:rsidP="00951DE4">
            <w:pPr>
              <w:pStyle w:val="TableDataUnpadded"/>
            </w:pPr>
            <w:r w:rsidRPr="00C27EA6">
              <w:t>rolapitant</w:t>
            </w:r>
          </w:p>
        </w:tc>
        <w:tc>
          <w:tcPr>
            <w:tcW w:w="3590" w:type="dxa"/>
          </w:tcPr>
          <w:p w14:paraId="0F947994" w14:textId="4669D0B8" w:rsidR="000A11B6" w:rsidRPr="00C27EA6" w:rsidRDefault="008F2D37" w:rsidP="00951DE4">
            <w:pPr>
              <w:pStyle w:val="TableDataUnpadded"/>
            </w:pPr>
            <w:r>
              <w:t>all</w:t>
            </w:r>
          </w:p>
        </w:tc>
      </w:tr>
    </w:tbl>
    <w:bookmarkEnd w:id="0"/>
    <w:p w14:paraId="14CE6108" w14:textId="102A2E85" w:rsidR="00FC1AAD" w:rsidRPr="00C27EA6" w:rsidRDefault="00ED052F" w:rsidP="00ED052F">
      <w:pPr>
        <w:pStyle w:val="Heading2"/>
      </w:pPr>
      <w:r w:rsidRPr="00C27EA6">
        <w:t>Indications</w:t>
      </w:r>
    </w:p>
    <w:p w14:paraId="134B5687" w14:textId="3D4761C2" w:rsidR="00ED052F" w:rsidRPr="00C27EA6" w:rsidRDefault="00ED052F" w:rsidP="00ED052F">
      <w:pPr>
        <w:pStyle w:val="Heading3"/>
        <w:keepNext w:val="0"/>
      </w:pPr>
      <w:r w:rsidRPr="00C27EA6">
        <w:t>FDA-approved Indications</w:t>
      </w:r>
    </w:p>
    <w:p w14:paraId="00317524" w14:textId="182D59FD" w:rsidR="00314E3B" w:rsidRPr="00C27EA6" w:rsidRDefault="00314E3B" w:rsidP="006357AE">
      <w:pPr>
        <w:pStyle w:val="Heading4"/>
      </w:pPr>
      <w:r w:rsidRPr="00C27EA6">
        <w:lastRenderedPageBreak/>
        <w:t>Aprepitant capsules</w:t>
      </w:r>
    </w:p>
    <w:p w14:paraId="0467A758" w14:textId="4E3BDF68" w:rsidR="00314E3B" w:rsidRPr="00C27EA6" w:rsidRDefault="00314E3B" w:rsidP="006357AE">
      <w:pPr>
        <w:pStyle w:val="Heading5"/>
      </w:pPr>
      <w:r w:rsidRPr="00C27EA6">
        <w:t>Prevention of Chemotherapy Induced Nausea and Vomiting (CINV)</w:t>
      </w:r>
    </w:p>
    <w:p w14:paraId="178B9677" w14:textId="3B953434" w:rsidR="00314E3B" w:rsidRPr="00C27EA6" w:rsidRDefault="00314E3B" w:rsidP="001B6572">
      <w:pPr>
        <w:spacing w:after="60"/>
        <w:textAlignment w:val="baseline"/>
        <w:rPr>
          <w:rFonts w:cs="Arial"/>
          <w:szCs w:val="22"/>
        </w:rPr>
      </w:pPr>
      <w:r w:rsidRPr="00C27EA6">
        <w:rPr>
          <w:rFonts w:cs="Arial"/>
          <w:sz w:val="20"/>
        </w:rPr>
        <w:t>Aprepitant capsules, in combination with other antiemetic agents, are indicated in patients 12 years of age and older for the prevention of:</w:t>
      </w:r>
    </w:p>
    <w:p w14:paraId="56B271D3" w14:textId="69F68919" w:rsidR="00F9340A" w:rsidRPr="00443A55" w:rsidRDefault="00F9340A" w:rsidP="00766FCB">
      <w:pPr>
        <w:pStyle w:val="ListParagraph"/>
        <w:numPr>
          <w:ilvl w:val="0"/>
          <w:numId w:val="22"/>
        </w:numPr>
      </w:pPr>
      <w:r w:rsidRPr="00443A55">
        <w:t>acute and delayed nausea and vomiting associated with initial and repeat courses of highly emetogenic cancer chemotherapy (HEC) including high-dose cisplatin.</w:t>
      </w:r>
    </w:p>
    <w:p w14:paraId="16C58CE9" w14:textId="31F668A3" w:rsidR="00F9340A" w:rsidRPr="00443A55" w:rsidRDefault="00F9340A" w:rsidP="00766FCB">
      <w:pPr>
        <w:pStyle w:val="ListParagraph"/>
        <w:numPr>
          <w:ilvl w:val="0"/>
          <w:numId w:val="22"/>
        </w:numPr>
      </w:pPr>
      <w:r w:rsidRPr="00443A55">
        <w:t>nausea and vomiting associated with initial and repeat courses of moderately emetogenic cancer chemotherapy (MEC).</w:t>
      </w:r>
    </w:p>
    <w:p w14:paraId="33BB97A5" w14:textId="2DDC883A" w:rsidR="00F9340A" w:rsidRPr="00C27EA6" w:rsidRDefault="00F9340A" w:rsidP="006357AE">
      <w:pPr>
        <w:pStyle w:val="Heading5"/>
      </w:pPr>
      <w:r w:rsidRPr="00C27EA6">
        <w:t>Prevention of Postoperative Nausea and Vomiting (PONV)</w:t>
      </w:r>
    </w:p>
    <w:p w14:paraId="3EB555FB" w14:textId="551905E9" w:rsidR="00F9340A" w:rsidRPr="00443A55" w:rsidRDefault="00F9340A" w:rsidP="00443A55">
      <w:pPr>
        <w:pStyle w:val="BodyText"/>
      </w:pPr>
      <w:r w:rsidRPr="00443A55">
        <w:t>Aprepitant capsules are indicated in adults for the prevention of postoperative nausea and vomiting.</w:t>
      </w:r>
    </w:p>
    <w:p w14:paraId="4DB04B22" w14:textId="3C04AD89" w:rsidR="00F9340A" w:rsidRPr="00C27EA6" w:rsidRDefault="00F9340A" w:rsidP="006357AE">
      <w:pPr>
        <w:pStyle w:val="Heading5"/>
      </w:pPr>
      <w:r w:rsidRPr="00C27EA6">
        <w:t>Limitations of Use</w:t>
      </w:r>
    </w:p>
    <w:p w14:paraId="7F3F4618" w14:textId="1A823E35" w:rsidR="00F9340A" w:rsidRPr="00443A55" w:rsidRDefault="00F9340A" w:rsidP="00766FCB">
      <w:pPr>
        <w:pStyle w:val="ListParagraph"/>
        <w:numPr>
          <w:ilvl w:val="0"/>
          <w:numId w:val="23"/>
        </w:numPr>
      </w:pPr>
      <w:r w:rsidRPr="00443A55">
        <w:t>Aprepitant has not been studied for the treatment of established nausea and vomiting.</w:t>
      </w:r>
    </w:p>
    <w:p w14:paraId="3970F264" w14:textId="11993E24" w:rsidR="00F9340A" w:rsidRPr="00443A55" w:rsidRDefault="00F9340A" w:rsidP="00766FCB">
      <w:pPr>
        <w:pStyle w:val="ListParagraph"/>
        <w:numPr>
          <w:ilvl w:val="0"/>
          <w:numId w:val="23"/>
        </w:numPr>
      </w:pPr>
      <w:r w:rsidRPr="00443A55">
        <w:t>Chronic continuous administration of aprepitant is not recommended because it has not been studied, and because the drug interaction profile may change during chronic continuous use.</w:t>
      </w:r>
    </w:p>
    <w:p w14:paraId="2068C200" w14:textId="79D9A6AF" w:rsidR="00F9340A" w:rsidRPr="00C27EA6" w:rsidRDefault="00F9340A" w:rsidP="006357AE">
      <w:pPr>
        <w:pStyle w:val="Heading4"/>
      </w:pPr>
      <w:r w:rsidRPr="00C27EA6">
        <w:t>Cinvanti (aprepitant) injectable emulsion</w:t>
      </w:r>
    </w:p>
    <w:p w14:paraId="6DE7508A" w14:textId="3EF1981C" w:rsidR="00F9340A" w:rsidRPr="00443A55" w:rsidRDefault="00F9340A" w:rsidP="00443A55">
      <w:pPr>
        <w:pStyle w:val="BodyText"/>
      </w:pPr>
      <w:r w:rsidRPr="00443A55">
        <w:t>Cinvanti, in combination with other antiemetic agents, is indicated in adults for the prevention of:</w:t>
      </w:r>
    </w:p>
    <w:p w14:paraId="5E09B677" w14:textId="55654A61" w:rsidR="00F9340A" w:rsidRPr="00443A55" w:rsidRDefault="00F9340A" w:rsidP="00766FCB">
      <w:pPr>
        <w:pStyle w:val="ListParagraph"/>
        <w:numPr>
          <w:ilvl w:val="0"/>
          <w:numId w:val="24"/>
        </w:numPr>
      </w:pPr>
      <w:r w:rsidRPr="00443A55">
        <w:t>acute and delayed nausea and vomiting associated with initial and repeat courses of highly emetogenic cancer chemotherapy (HEC) including high-dose cisplatin as a single dose regimen.</w:t>
      </w:r>
    </w:p>
    <w:p w14:paraId="35A9E8A5" w14:textId="0062EE45" w:rsidR="00F9340A" w:rsidRPr="00443A55" w:rsidRDefault="00F9340A" w:rsidP="00766FCB">
      <w:pPr>
        <w:pStyle w:val="ListParagraph"/>
        <w:numPr>
          <w:ilvl w:val="0"/>
          <w:numId w:val="24"/>
        </w:numPr>
      </w:pPr>
      <w:r w:rsidRPr="00443A55">
        <w:t>delayed nausea and vomiting associated with initial and repeat courses of moderately emetogenic cancer chemotherapy (MEC) as a single dose regimen.</w:t>
      </w:r>
    </w:p>
    <w:p w14:paraId="524ECD9E" w14:textId="29E34DC5" w:rsidR="00F9340A" w:rsidRPr="00443A55" w:rsidRDefault="00F9340A" w:rsidP="00766FCB">
      <w:pPr>
        <w:pStyle w:val="ListParagraph"/>
        <w:numPr>
          <w:ilvl w:val="0"/>
          <w:numId w:val="24"/>
        </w:numPr>
      </w:pPr>
      <w:r w:rsidRPr="00443A55">
        <w:t>nausea and vomiting associated with initial and repeat courses of MEC as a 3-day regimen.</w:t>
      </w:r>
    </w:p>
    <w:p w14:paraId="343311C6" w14:textId="6E5B6E55" w:rsidR="00F9340A" w:rsidRPr="00C27EA6" w:rsidRDefault="00F9340A" w:rsidP="006357AE">
      <w:pPr>
        <w:pStyle w:val="Heading5"/>
      </w:pPr>
      <w:r w:rsidRPr="00C27EA6">
        <w:t>Limitations of Use</w:t>
      </w:r>
    </w:p>
    <w:p w14:paraId="263D9792" w14:textId="102B52F0" w:rsidR="00F9340A" w:rsidRPr="00443A55" w:rsidRDefault="00F9340A" w:rsidP="00766FCB">
      <w:pPr>
        <w:pStyle w:val="ListParagraph"/>
        <w:numPr>
          <w:ilvl w:val="0"/>
          <w:numId w:val="25"/>
        </w:numPr>
      </w:pPr>
      <w:r w:rsidRPr="00443A55">
        <w:t>Cinvanti has not been studied for the treatment of established nausea and vomiting.</w:t>
      </w:r>
    </w:p>
    <w:p w14:paraId="4564343D" w14:textId="1C648904" w:rsidR="00F9340A" w:rsidRPr="00C27EA6" w:rsidRDefault="00F9340A" w:rsidP="006357AE">
      <w:pPr>
        <w:pStyle w:val="Heading4"/>
      </w:pPr>
      <w:r w:rsidRPr="00C27EA6">
        <w:t>Emend (aprepitant) capsules and oral suspension</w:t>
      </w:r>
    </w:p>
    <w:p w14:paraId="3034E7D8" w14:textId="691988E4" w:rsidR="00F9340A" w:rsidRPr="00443A55" w:rsidRDefault="00F9340A" w:rsidP="00443A55">
      <w:pPr>
        <w:pStyle w:val="BodyText"/>
      </w:pPr>
      <w:r w:rsidRPr="00443A55">
        <w:t>Emend for oral suspension, in combination with other antiemetic agents, is indicated in patients 6 months of age and older for the prevention of:</w:t>
      </w:r>
    </w:p>
    <w:p w14:paraId="78AF2195" w14:textId="13A58C84" w:rsidR="00F9340A" w:rsidRPr="00443A55" w:rsidRDefault="00F9340A" w:rsidP="00766FCB">
      <w:pPr>
        <w:pStyle w:val="ListParagraph"/>
        <w:numPr>
          <w:ilvl w:val="0"/>
          <w:numId w:val="25"/>
        </w:numPr>
      </w:pPr>
      <w:r w:rsidRPr="00443A55">
        <w:t>acute and delayed nausea and vomiting associated with initial and repeat courses of highly emetogenic cancer chemotherapy (HEC) including high-dose cisplatin.</w:t>
      </w:r>
    </w:p>
    <w:p w14:paraId="71A84258" w14:textId="510C56D4" w:rsidR="00F9340A" w:rsidRPr="00443A55" w:rsidRDefault="00F9340A" w:rsidP="00766FCB">
      <w:pPr>
        <w:pStyle w:val="ListParagraph"/>
        <w:numPr>
          <w:ilvl w:val="0"/>
          <w:numId w:val="25"/>
        </w:numPr>
      </w:pPr>
      <w:r w:rsidRPr="00443A55">
        <w:t>nausea and vomiting associated with initial and repeat courses of moderately emetogenic cancer chemotherapy (MEC).</w:t>
      </w:r>
    </w:p>
    <w:p w14:paraId="5F06157D" w14:textId="616BE9AA" w:rsidR="00F9340A" w:rsidRPr="00443A55" w:rsidRDefault="00F9340A" w:rsidP="00443A55">
      <w:pPr>
        <w:pStyle w:val="BodyText"/>
      </w:pPr>
      <w:r w:rsidRPr="00443A55">
        <w:t>Emend capsules, in combination with other antiemetic agents, is indicated in patients 12 years of age and older for the prevention of:</w:t>
      </w:r>
    </w:p>
    <w:p w14:paraId="07734F6E" w14:textId="03F0191F" w:rsidR="00F9340A" w:rsidRPr="00443A55" w:rsidRDefault="00F9340A" w:rsidP="00766FCB">
      <w:pPr>
        <w:pStyle w:val="ListParagraph"/>
        <w:numPr>
          <w:ilvl w:val="0"/>
          <w:numId w:val="26"/>
        </w:numPr>
      </w:pPr>
      <w:r w:rsidRPr="00443A55">
        <w:t>acute and delayed nausea and vomiting associated with initial and repeat courses of highly emetogenic cancer chemotherapy (HEC) including high-dose cisplatin.</w:t>
      </w:r>
    </w:p>
    <w:p w14:paraId="6DBADB77" w14:textId="2D005F21" w:rsidR="00F9340A" w:rsidRPr="00443A55" w:rsidRDefault="00F9340A" w:rsidP="00766FCB">
      <w:pPr>
        <w:pStyle w:val="ListParagraph"/>
        <w:numPr>
          <w:ilvl w:val="0"/>
          <w:numId w:val="26"/>
        </w:numPr>
      </w:pPr>
      <w:r w:rsidRPr="00443A55">
        <w:t>nausea and vomiting associated with initial and repeat courses of moderately emetogenic cancer chemotherapy (MEC).</w:t>
      </w:r>
    </w:p>
    <w:p w14:paraId="34826063" w14:textId="44A4A598" w:rsidR="00F9340A" w:rsidRPr="00C27EA6" w:rsidRDefault="00F9340A" w:rsidP="006357AE">
      <w:pPr>
        <w:pStyle w:val="Heading5"/>
      </w:pPr>
      <w:r w:rsidRPr="00C27EA6">
        <w:t>Limitations of Use</w:t>
      </w:r>
    </w:p>
    <w:p w14:paraId="08B88F0F" w14:textId="024E368E" w:rsidR="00F9340A" w:rsidRPr="00443A55" w:rsidRDefault="00F9340A" w:rsidP="00766FCB">
      <w:pPr>
        <w:pStyle w:val="ListParagraph"/>
        <w:numPr>
          <w:ilvl w:val="0"/>
          <w:numId w:val="27"/>
        </w:numPr>
      </w:pPr>
      <w:r w:rsidRPr="00443A55">
        <w:t>Emend has not been studied for the treatment of established nausea and vomiting.</w:t>
      </w:r>
    </w:p>
    <w:p w14:paraId="2B54E4CD" w14:textId="0D8F9698" w:rsidR="00F9340A" w:rsidRPr="00443A55" w:rsidRDefault="00F9340A" w:rsidP="00766FCB">
      <w:pPr>
        <w:pStyle w:val="ListParagraph"/>
        <w:numPr>
          <w:ilvl w:val="0"/>
          <w:numId w:val="27"/>
        </w:numPr>
      </w:pPr>
      <w:r w:rsidRPr="00443A55">
        <w:t>Chronic continuous administration of Emend is not recommended because it has not been studied, and because the drug interaction profile may change during chronic continuous use.</w:t>
      </w:r>
    </w:p>
    <w:p w14:paraId="3FEFD899" w14:textId="7B71A40A" w:rsidR="00F9340A" w:rsidRPr="00C27EA6" w:rsidRDefault="00F9340A" w:rsidP="005A4AB0">
      <w:pPr>
        <w:pStyle w:val="Heading4"/>
      </w:pPr>
      <w:r w:rsidRPr="00C27EA6">
        <w:t>Emend (fosaprepitant) for injection</w:t>
      </w:r>
    </w:p>
    <w:p w14:paraId="6F552E56" w14:textId="5890F0C1" w:rsidR="00F9340A" w:rsidRPr="00443A55" w:rsidRDefault="00F9340A" w:rsidP="00443A55">
      <w:pPr>
        <w:pStyle w:val="BodyText"/>
      </w:pPr>
      <w:r w:rsidRPr="00443A55">
        <w:t>Emend for injection, in combination with other antiemetic agents, is indicated in adults and pediatric patients 6 months of age and older for the prevention of:</w:t>
      </w:r>
    </w:p>
    <w:p w14:paraId="31DF8165" w14:textId="4B70FB0C" w:rsidR="00F9340A" w:rsidRPr="00443A55" w:rsidRDefault="00F9340A" w:rsidP="00766FCB">
      <w:pPr>
        <w:pStyle w:val="ListParagraph"/>
        <w:numPr>
          <w:ilvl w:val="0"/>
          <w:numId w:val="28"/>
        </w:numPr>
      </w:pPr>
      <w:r w:rsidRPr="00443A55">
        <w:t>acute and delayed nausea and vomiting associated with initial and repeat courses of highly emetogenic cancer chemotherapy (HEC) including high-dose cisplatin.</w:t>
      </w:r>
    </w:p>
    <w:p w14:paraId="6673C5BF" w14:textId="485BDA85" w:rsidR="00F9340A" w:rsidRPr="00443A55" w:rsidRDefault="00F9340A" w:rsidP="00766FCB">
      <w:pPr>
        <w:pStyle w:val="ListParagraph"/>
        <w:numPr>
          <w:ilvl w:val="0"/>
          <w:numId w:val="28"/>
        </w:numPr>
      </w:pPr>
      <w:r w:rsidRPr="00443A55">
        <w:t>delayed nausea and vomiting associated with initial and repeat courses of moderately emetogenic cancer chemotherapy (MEC).</w:t>
      </w:r>
    </w:p>
    <w:p w14:paraId="02762A39" w14:textId="51AEFC15" w:rsidR="00F9340A" w:rsidRPr="00C27EA6" w:rsidRDefault="00F9340A" w:rsidP="005A4AB0">
      <w:pPr>
        <w:pStyle w:val="Heading5"/>
      </w:pPr>
      <w:r w:rsidRPr="00C27EA6">
        <w:t>Limitations of Use</w:t>
      </w:r>
    </w:p>
    <w:p w14:paraId="0A3E8D86" w14:textId="06DAEE05" w:rsidR="00F9340A" w:rsidRPr="00443A55" w:rsidRDefault="00F9340A" w:rsidP="00766FCB">
      <w:pPr>
        <w:pStyle w:val="ListParagraph"/>
        <w:numPr>
          <w:ilvl w:val="0"/>
          <w:numId w:val="29"/>
        </w:numPr>
      </w:pPr>
      <w:r w:rsidRPr="00443A55">
        <w:t>Emend has not been studied for the treatment of established nausea and vomiting.</w:t>
      </w:r>
    </w:p>
    <w:p w14:paraId="40909C4F" w14:textId="4109938F" w:rsidR="00F9340A" w:rsidRPr="00C27EA6" w:rsidRDefault="00F9340A" w:rsidP="005A4AB0">
      <w:pPr>
        <w:pStyle w:val="Heading4"/>
      </w:pPr>
      <w:proofErr w:type="spellStart"/>
      <w:r w:rsidRPr="00C27EA6">
        <w:t>Focinvez</w:t>
      </w:r>
      <w:proofErr w:type="spellEnd"/>
      <w:r w:rsidRPr="00C27EA6">
        <w:t xml:space="preserve"> (</w:t>
      </w:r>
      <w:proofErr w:type="spellStart"/>
      <w:r w:rsidRPr="00C27EA6">
        <w:t>fosaprepitant</w:t>
      </w:r>
      <w:proofErr w:type="spellEnd"/>
      <w:r w:rsidRPr="00C27EA6">
        <w:t>) injection</w:t>
      </w:r>
    </w:p>
    <w:p w14:paraId="06C954F0" w14:textId="17E9F728" w:rsidR="00F9340A" w:rsidRPr="00443A55" w:rsidRDefault="00F9340A" w:rsidP="00443A55">
      <w:pPr>
        <w:pStyle w:val="BodyText"/>
      </w:pPr>
      <w:proofErr w:type="spellStart"/>
      <w:r w:rsidRPr="00443A55">
        <w:t>Focinvez</w:t>
      </w:r>
      <w:proofErr w:type="spellEnd"/>
      <w:r w:rsidRPr="00443A55">
        <w:t>, in combination with other antiemetic agents, is indicated in adults and pediatric patients 6 months of age and older for the prevention of:</w:t>
      </w:r>
    </w:p>
    <w:p w14:paraId="74CC28E4" w14:textId="05BB7BFF" w:rsidR="00F9340A" w:rsidRPr="00443A55" w:rsidRDefault="00F9340A" w:rsidP="00766FCB">
      <w:pPr>
        <w:pStyle w:val="ListParagraph"/>
        <w:numPr>
          <w:ilvl w:val="0"/>
          <w:numId w:val="29"/>
        </w:numPr>
      </w:pPr>
      <w:r w:rsidRPr="00443A55">
        <w:t>acute and delayed nausea and vomiting associated with initial and repeat courses of highly emetogenic cancer chemotherapy (HEC) including high-dose cisplatin.</w:t>
      </w:r>
    </w:p>
    <w:p w14:paraId="5749AB63" w14:textId="04909D8A" w:rsidR="00F9340A" w:rsidRPr="00443A55" w:rsidRDefault="00F9340A" w:rsidP="00766FCB">
      <w:pPr>
        <w:pStyle w:val="ListParagraph"/>
        <w:numPr>
          <w:ilvl w:val="0"/>
          <w:numId w:val="29"/>
        </w:numPr>
      </w:pPr>
      <w:r w:rsidRPr="00443A55">
        <w:t>delayed nausea and vomiting associated with initial and repeat courses of moderately emetogenic cancer chemotherapy (MEC).</w:t>
      </w:r>
    </w:p>
    <w:p w14:paraId="4040D8D8" w14:textId="276EBE4D" w:rsidR="00F9340A" w:rsidRPr="00C27EA6" w:rsidRDefault="00F9340A" w:rsidP="005A4AB0">
      <w:pPr>
        <w:pStyle w:val="Heading5"/>
      </w:pPr>
      <w:r w:rsidRPr="00C27EA6">
        <w:t>Limitations of Use</w:t>
      </w:r>
    </w:p>
    <w:p w14:paraId="2BF26FF7" w14:textId="3AF85794" w:rsidR="00F9340A" w:rsidRPr="00443A55" w:rsidRDefault="00F9340A" w:rsidP="00766FCB">
      <w:pPr>
        <w:pStyle w:val="ListParagraph"/>
        <w:numPr>
          <w:ilvl w:val="0"/>
          <w:numId w:val="30"/>
        </w:numPr>
      </w:pPr>
      <w:proofErr w:type="spellStart"/>
      <w:r w:rsidRPr="00443A55">
        <w:t>Focinvez</w:t>
      </w:r>
      <w:proofErr w:type="spellEnd"/>
      <w:r w:rsidRPr="00443A55">
        <w:t xml:space="preserve"> has not been studied for the treatment of established nausea and vomiting.</w:t>
      </w:r>
    </w:p>
    <w:p w14:paraId="0EBE30CC" w14:textId="5E875248" w:rsidR="00F9340A" w:rsidRPr="00C27EA6" w:rsidRDefault="00F9340A" w:rsidP="005A4AB0">
      <w:pPr>
        <w:pStyle w:val="Heading4"/>
      </w:pPr>
      <w:proofErr w:type="spellStart"/>
      <w:r w:rsidRPr="00C27EA6">
        <w:t>Varubi</w:t>
      </w:r>
      <w:proofErr w:type="spellEnd"/>
      <w:r w:rsidRPr="00C27EA6">
        <w:t xml:space="preserve"> (</w:t>
      </w:r>
      <w:proofErr w:type="spellStart"/>
      <w:r w:rsidRPr="00C27EA6">
        <w:t>rolapitant</w:t>
      </w:r>
      <w:proofErr w:type="spellEnd"/>
      <w:r w:rsidRPr="00C27EA6">
        <w:t>) tablets</w:t>
      </w:r>
    </w:p>
    <w:p w14:paraId="3162C253" w14:textId="655FA1CE" w:rsidR="00F9340A" w:rsidRPr="00443A55" w:rsidRDefault="00F9340A" w:rsidP="00443A55">
      <w:pPr>
        <w:pStyle w:val="BodyText"/>
      </w:pPr>
      <w:proofErr w:type="spellStart"/>
      <w:r w:rsidRPr="00443A55">
        <w:t>Varubi</w:t>
      </w:r>
      <w:proofErr w:type="spellEnd"/>
      <w:r w:rsidRPr="00443A55">
        <w:t xml:space="preserve"> is indicated in combination with other antiemetic agents in adults for the prevention of delayed nausea and vomiting associated with initial and repeat courses of emetogenic cancer chemotherapy, including, but not limited to, highly emetogenic chemotherapy.</w:t>
      </w:r>
    </w:p>
    <w:p w14:paraId="4E473A00" w14:textId="5D57B7CF" w:rsidR="00F9340A" w:rsidRPr="00C27EA6" w:rsidRDefault="00A366AC" w:rsidP="00461B44">
      <w:pPr>
        <w:pStyle w:val="Heading2"/>
      </w:pPr>
      <w:r w:rsidRPr="00C27EA6">
        <w:t>Coverage Criteria</w:t>
      </w:r>
    </w:p>
    <w:p w14:paraId="28F4A6F8" w14:textId="47174F85" w:rsidR="00F9340A" w:rsidRPr="00C27EA6" w:rsidRDefault="00F9340A" w:rsidP="00796DB5">
      <w:pPr>
        <w:pStyle w:val="Heading3"/>
      </w:pPr>
      <w:r w:rsidRPr="00C27EA6">
        <w:t>Delayed Nausea and Vomiting Associated with Emetogenic Cancer Chemotherapy</w:t>
      </w:r>
    </w:p>
    <w:p w14:paraId="4CB63E27" w14:textId="64449531" w:rsidR="00F9340A" w:rsidRPr="00443A55" w:rsidRDefault="00F9340A" w:rsidP="00443A55">
      <w:pPr>
        <w:pStyle w:val="BodyText"/>
      </w:pPr>
      <w:r w:rsidRPr="00443A55">
        <w:t>Authorization may be granted when the requested drug is being prescribed for prevention of delayed nausea and vomiting associated with initial and repeat courses of emetogenic cancer chemotherapy when ALL of the following criteria are met:</w:t>
      </w:r>
    </w:p>
    <w:p w14:paraId="067B31A4" w14:textId="4888CF4C" w:rsidR="00F9340A" w:rsidRPr="00443A55" w:rsidRDefault="00F9340A" w:rsidP="00766FCB">
      <w:pPr>
        <w:pStyle w:val="ListParagraph"/>
        <w:numPr>
          <w:ilvl w:val="0"/>
          <w:numId w:val="30"/>
        </w:numPr>
      </w:pPr>
      <w:r w:rsidRPr="00443A55">
        <w:t xml:space="preserve">The request is for </w:t>
      </w:r>
      <w:proofErr w:type="spellStart"/>
      <w:r w:rsidRPr="00443A55">
        <w:t>Varubi</w:t>
      </w:r>
      <w:proofErr w:type="spellEnd"/>
      <w:r w:rsidRPr="00443A55">
        <w:t xml:space="preserve"> (</w:t>
      </w:r>
      <w:proofErr w:type="spellStart"/>
      <w:r w:rsidRPr="00443A55">
        <w:t>rolapitant</w:t>
      </w:r>
      <w:proofErr w:type="spellEnd"/>
      <w:r w:rsidRPr="00443A55">
        <w:t>)</w:t>
      </w:r>
      <w:r w:rsidR="00511906">
        <w:t>.</w:t>
      </w:r>
    </w:p>
    <w:p w14:paraId="3F2C2164" w14:textId="13C1A2D5" w:rsidR="00F9340A" w:rsidRPr="00443A55" w:rsidRDefault="00F9340A" w:rsidP="00766FCB">
      <w:pPr>
        <w:pStyle w:val="ListParagraph"/>
        <w:numPr>
          <w:ilvl w:val="0"/>
          <w:numId w:val="30"/>
        </w:numPr>
      </w:pPr>
      <w:proofErr w:type="spellStart"/>
      <w:r w:rsidRPr="00443A55">
        <w:t>Varubi</w:t>
      </w:r>
      <w:proofErr w:type="spellEnd"/>
      <w:r w:rsidRPr="00443A55">
        <w:t xml:space="preserve"> (</w:t>
      </w:r>
      <w:proofErr w:type="spellStart"/>
      <w:r w:rsidRPr="00443A55">
        <w:t>rolapitant</w:t>
      </w:r>
      <w:proofErr w:type="spellEnd"/>
      <w:r w:rsidRPr="00443A55">
        <w:t>) will be used in combination with other antiemetic agents</w:t>
      </w:r>
      <w:r w:rsidR="00511906">
        <w:t>.</w:t>
      </w:r>
    </w:p>
    <w:p w14:paraId="63A64267" w14:textId="65F26C55" w:rsidR="00F9340A" w:rsidRPr="00C27EA6" w:rsidRDefault="00F9340A" w:rsidP="00796DB5">
      <w:pPr>
        <w:pStyle w:val="Heading3"/>
      </w:pPr>
      <w:r w:rsidRPr="00C27EA6">
        <w:t>Nausea and Vomiting Associated with Highly or Moderately Emetogenic Cancer Chemotherapy</w:t>
      </w:r>
    </w:p>
    <w:p w14:paraId="7C4E53F6" w14:textId="2032D545" w:rsidR="00F9340A" w:rsidRPr="00443A55" w:rsidRDefault="00F9340A" w:rsidP="00443A55">
      <w:pPr>
        <w:pStyle w:val="BodyText"/>
      </w:pPr>
      <w:r w:rsidRPr="00443A55">
        <w:t>Authorization may be granted when the requested drug is being prescribed for the prevention of nausea and vomiting associated with highly or moderately emetogenic cancer chemotherapy when the following criteria is met:</w:t>
      </w:r>
    </w:p>
    <w:p w14:paraId="63F80FCF" w14:textId="59D9DFD5" w:rsidR="00F9340A" w:rsidRPr="00443A55" w:rsidRDefault="00F9340A" w:rsidP="00766FCB">
      <w:pPr>
        <w:pStyle w:val="ListParagraph"/>
        <w:numPr>
          <w:ilvl w:val="0"/>
          <w:numId w:val="31"/>
        </w:numPr>
      </w:pPr>
      <w:r w:rsidRPr="00443A55">
        <w:t>The requested drug will be used in combination with other antiemetic agents</w:t>
      </w:r>
      <w:r w:rsidR="00511906">
        <w:t>.</w:t>
      </w:r>
    </w:p>
    <w:p w14:paraId="4F22D8FA" w14:textId="64526CFE" w:rsidR="00F9340A" w:rsidRPr="00C27EA6" w:rsidRDefault="00F9340A" w:rsidP="00796DB5">
      <w:pPr>
        <w:pStyle w:val="Heading3"/>
      </w:pPr>
      <w:r w:rsidRPr="00C27EA6">
        <w:t>Postoperative Nausea and Vomiting</w:t>
      </w:r>
    </w:p>
    <w:p w14:paraId="06EACAC3" w14:textId="17EFE7A1" w:rsidR="00F9340A" w:rsidRPr="00443A55" w:rsidRDefault="00F9340A" w:rsidP="00443A55">
      <w:pPr>
        <w:pStyle w:val="BodyText"/>
      </w:pPr>
      <w:r w:rsidRPr="00443A55">
        <w:t>Authorization may be granted when the requested drug is being prescribed for the prevention of postoperative nausea and vomiting when the following criteria is met:</w:t>
      </w:r>
    </w:p>
    <w:p w14:paraId="5F9124DF" w14:textId="05CD7CE2" w:rsidR="00753B12" w:rsidRPr="00443A55" w:rsidRDefault="00F9340A" w:rsidP="00766FCB">
      <w:pPr>
        <w:pStyle w:val="ListParagraph"/>
        <w:numPr>
          <w:ilvl w:val="0"/>
          <w:numId w:val="31"/>
        </w:numPr>
      </w:pPr>
      <w:r w:rsidRPr="00443A55">
        <w:t>The request is for aprepitant capsules</w:t>
      </w:r>
      <w:r w:rsidR="00511906">
        <w:t>.</w:t>
      </w:r>
    </w:p>
    <w:p w14:paraId="29D15E84" w14:textId="0DCD0C2C" w:rsidR="00F54325" w:rsidRPr="004E6028" w:rsidRDefault="0023133D" w:rsidP="00443A55">
      <w:pPr>
        <w:pStyle w:val="Heading2"/>
        <w:rPr>
          <w:rFonts w:eastAsia="Arial"/>
        </w:rPr>
      </w:pPr>
      <w:r w:rsidRPr="00443A55">
        <w:rPr>
          <w:rStyle w:val="normaltextrun"/>
        </w:rPr>
        <w:t xml:space="preserve">Quantity Limits </w:t>
      </w:r>
      <w:r w:rsidR="008F2D37">
        <w:rPr>
          <w:rStyle w:val="normaltextrun"/>
        </w:rPr>
        <w:t>A</w:t>
      </w:r>
      <w:r w:rsidRPr="00443A55">
        <w:rPr>
          <w:rStyle w:val="normaltextrun"/>
        </w:rPr>
        <w:t>pply</w:t>
      </w:r>
    </w:p>
    <w:p w14:paraId="11196001" w14:textId="4C700154" w:rsidR="00683C7C" w:rsidRDefault="00EA2DD5" w:rsidP="008F2D37">
      <w:pPr>
        <w:pStyle w:val="Heading3"/>
      </w:pPr>
      <w:r w:rsidRPr="00C27EA6">
        <w:t>Quantity Limit</w:t>
      </w:r>
    </w:p>
    <w:p w14:paraId="5E4135B7" w14:textId="0E58A178" w:rsidR="008F2D37" w:rsidRPr="00C27EA6" w:rsidRDefault="008F2D37" w:rsidP="008F2D37">
      <w:pPr>
        <w:pStyle w:val="BodyText"/>
      </w:pPr>
      <w:r w:rsidRPr="00C27EA6">
        <w:t>The duration of 21 days is used for a 28-day fill period to allow time for refill processing.</w:t>
      </w:r>
    </w:p>
    <w:p w14:paraId="209269E5" w14:textId="747A6BAB" w:rsidR="008F2D37" w:rsidRPr="008F2D37" w:rsidRDefault="00AC5BD4" w:rsidP="008F2A4C">
      <w:pPr>
        <w:pStyle w:val="BodyText"/>
      </w:pPr>
      <w:r w:rsidRPr="00B309F7">
        <w:rPr>
          <w:rFonts w:eastAsia="Arial"/>
        </w:rPr>
        <w:t>These drugs are for short-term acute use; therefore, the intent is for prescriptions of the requested drug to be filled one month at a time; there should be no 3 month supplies filled.</w:t>
      </w:r>
    </w:p>
    <w:tbl>
      <w:tblPr>
        <w:tblStyle w:val="TableGrid"/>
        <w:tblW w:w="5000" w:type="pct"/>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100"/>
        <w:gridCol w:w="2820"/>
        <w:gridCol w:w="2820"/>
      </w:tblGrid>
      <w:tr w:rsidR="00683C7C" w:rsidRPr="00C27EA6" w14:paraId="69CF7FC4" w14:textId="77777777" w:rsidTr="000C5A6F">
        <w:trPr>
          <w:cantSplit/>
          <w:trHeight w:val="288"/>
          <w:tblHeader/>
        </w:trPr>
        <w:tc>
          <w:tcPr>
            <w:tcW w:w="2374" w:type="pct"/>
            <w:tcBorders>
              <w:top w:val="single" w:sz="24" w:space="0" w:color="auto"/>
            </w:tcBorders>
            <w:vAlign w:val="center"/>
          </w:tcPr>
          <w:p w14:paraId="1584C3CF" w14:textId="77777777" w:rsidR="00683C7C" w:rsidRPr="00C27EA6" w:rsidRDefault="00683C7C" w:rsidP="00AA1E6A">
            <w:pPr>
              <w:pStyle w:val="TableHeader"/>
              <w:spacing w:after="120"/>
              <w:rPr>
                <w:rFonts w:eastAsia="Arial"/>
              </w:rPr>
            </w:pPr>
            <w:r w:rsidRPr="00C27EA6">
              <w:rPr>
                <w:rFonts w:eastAsia="Arial"/>
              </w:rPr>
              <w:t>Drug</w:t>
            </w:r>
          </w:p>
        </w:tc>
        <w:tc>
          <w:tcPr>
            <w:tcW w:w="1313" w:type="pct"/>
            <w:tcBorders>
              <w:top w:val="single" w:sz="24" w:space="0" w:color="auto"/>
            </w:tcBorders>
          </w:tcPr>
          <w:p w14:paraId="21588D94" w14:textId="56EF269F" w:rsidR="00683C7C" w:rsidRPr="00C27EA6" w:rsidRDefault="00B92BC4" w:rsidP="00AA1E6A">
            <w:pPr>
              <w:pStyle w:val="TableHeader"/>
              <w:spacing w:after="120"/>
              <w:rPr>
                <w:rFonts w:eastAsia="Arial"/>
              </w:rPr>
            </w:pPr>
            <w:r w:rsidRPr="00C27EA6">
              <w:rPr>
                <w:rFonts w:eastAsia="Arial"/>
              </w:rPr>
              <w:t>4 Week Limit</w:t>
            </w:r>
          </w:p>
        </w:tc>
        <w:tc>
          <w:tcPr>
            <w:tcW w:w="1313" w:type="pct"/>
            <w:tcBorders>
              <w:top w:val="single" w:sz="24" w:space="0" w:color="auto"/>
            </w:tcBorders>
            <w:vAlign w:val="center"/>
          </w:tcPr>
          <w:p w14:paraId="5D3C3524" w14:textId="2FA9869E" w:rsidR="00683C7C" w:rsidRPr="00C27EA6" w:rsidRDefault="00E45BE3" w:rsidP="00AA1E6A">
            <w:pPr>
              <w:pStyle w:val="TableHeader"/>
              <w:spacing w:after="120"/>
              <w:rPr>
                <w:rFonts w:eastAsia="Arial"/>
              </w:rPr>
            </w:pPr>
            <w:r w:rsidRPr="00C27EA6">
              <w:rPr>
                <w:rFonts w:eastAsia="Arial"/>
              </w:rPr>
              <w:t>12 Week Limit</w:t>
            </w:r>
          </w:p>
        </w:tc>
      </w:tr>
      <w:tr w:rsidR="00683C7C" w:rsidRPr="00C27EA6" w14:paraId="3C046DB7" w14:textId="77777777" w:rsidTr="000C5A6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cantSplit/>
          <w:trHeight w:val="510"/>
        </w:trPr>
        <w:tc>
          <w:tcPr>
            <w:tcW w:w="2374" w:type="pct"/>
            <w:tcBorders>
              <w:left w:val="single" w:sz="24" w:space="0" w:color="auto"/>
            </w:tcBorders>
          </w:tcPr>
          <w:p w14:paraId="3DE619DA" w14:textId="159E219C" w:rsidR="00FD39EA" w:rsidRPr="00815A65" w:rsidRDefault="00FD39EA" w:rsidP="00AA5FAB">
            <w:pPr>
              <w:pStyle w:val="TableDataUnpadded"/>
              <w:rPr>
                <w:rFonts w:cs="Segoe UI"/>
              </w:rPr>
            </w:pPr>
            <w:r w:rsidRPr="00815A65">
              <w:t>Cinvanti (aprepitant) 130 mg Injection</w:t>
            </w:r>
          </w:p>
          <w:p w14:paraId="40536FD3" w14:textId="1B6C3F8F" w:rsidR="00683C7C" w:rsidRPr="00815A65" w:rsidRDefault="00FD39EA" w:rsidP="00AA5FAB">
            <w:pPr>
              <w:pStyle w:val="TableDataUnpadded"/>
              <w:rPr>
                <w:rFonts w:cs="Segoe UI"/>
              </w:rPr>
            </w:pPr>
            <w:r w:rsidRPr="00815A65">
              <w:t>(Single-Dose 130 mg / 18 mL Vial) </w:t>
            </w:r>
          </w:p>
        </w:tc>
        <w:tc>
          <w:tcPr>
            <w:tcW w:w="1313" w:type="pct"/>
          </w:tcPr>
          <w:p w14:paraId="5BF5D5D5" w14:textId="239D5A6E" w:rsidR="00683C7C" w:rsidRPr="005455FC" w:rsidRDefault="00EE0C82" w:rsidP="00AA5FAB">
            <w:pPr>
              <w:pStyle w:val="TableDataUnpadded"/>
            </w:pPr>
            <w:r w:rsidRPr="00815A65">
              <w:t>4 vials (72 mL) / 21 days</w:t>
            </w:r>
            <w:r w:rsidR="00D4448D" w:rsidRPr="00815A65">
              <w:rPr>
                <w:rStyle w:val="normaltextrun"/>
                <w:color w:val="000000"/>
                <w:shd w:val="clear" w:color="auto" w:fill="FFFFFF"/>
              </w:rPr>
              <w:t xml:space="preserve"> </w:t>
            </w:r>
          </w:p>
        </w:tc>
        <w:tc>
          <w:tcPr>
            <w:tcW w:w="1313" w:type="pct"/>
            <w:tcBorders>
              <w:right w:val="single" w:sz="24" w:space="0" w:color="auto"/>
            </w:tcBorders>
          </w:tcPr>
          <w:p w14:paraId="0119209A" w14:textId="6E7C18B6" w:rsidR="00683C7C" w:rsidRPr="00C27EA6" w:rsidRDefault="00C964FD" w:rsidP="00AA5FAB">
            <w:pPr>
              <w:pStyle w:val="TableDataUnpadded"/>
            </w:pPr>
            <w:r w:rsidRPr="00C27EA6">
              <w:t>Does Not Apply</w:t>
            </w:r>
          </w:p>
        </w:tc>
      </w:tr>
      <w:tr w:rsidR="00683C7C" w:rsidRPr="00C27EA6" w14:paraId="08511A92" w14:textId="77777777" w:rsidTr="000C5A6F">
        <w:trPr>
          <w:cantSplit/>
        </w:trPr>
        <w:tc>
          <w:tcPr>
            <w:tcW w:w="2374" w:type="pct"/>
            <w:tcBorders>
              <w:bottom w:val="single" w:sz="6" w:space="0" w:color="auto"/>
            </w:tcBorders>
          </w:tcPr>
          <w:p w14:paraId="24291251" w14:textId="394210A6" w:rsidR="00683C7C" w:rsidRPr="00C27EA6" w:rsidRDefault="003C67C9" w:rsidP="00AA5FAB">
            <w:pPr>
              <w:pStyle w:val="TableDataUnpadded"/>
            </w:pPr>
            <w:r w:rsidRPr="00C27EA6">
              <w:t>Emend (aprepitant) 80 mg Capsule</w:t>
            </w:r>
          </w:p>
        </w:tc>
        <w:tc>
          <w:tcPr>
            <w:tcW w:w="1313" w:type="pct"/>
            <w:tcBorders>
              <w:bottom w:val="single" w:sz="6" w:space="0" w:color="auto"/>
            </w:tcBorders>
          </w:tcPr>
          <w:p w14:paraId="56B0732F" w14:textId="6C1EC43C" w:rsidR="00683C7C" w:rsidRPr="00C27EA6" w:rsidRDefault="0017292E" w:rsidP="00AA5FAB">
            <w:pPr>
              <w:pStyle w:val="TableDataUnpadded"/>
            </w:pPr>
            <w:r w:rsidRPr="00C27EA6">
              <w:t>16 capsules / 21 days</w:t>
            </w:r>
          </w:p>
        </w:tc>
        <w:tc>
          <w:tcPr>
            <w:tcW w:w="1313" w:type="pct"/>
            <w:tcBorders>
              <w:bottom w:val="single" w:sz="6" w:space="0" w:color="auto"/>
            </w:tcBorders>
          </w:tcPr>
          <w:p w14:paraId="4A3FB009" w14:textId="29CD036B" w:rsidR="00683C7C" w:rsidRPr="00C27EA6" w:rsidRDefault="00C964FD" w:rsidP="00AA5FAB">
            <w:pPr>
              <w:pStyle w:val="TableDataUnpadded"/>
            </w:pPr>
            <w:r w:rsidRPr="00C27EA6">
              <w:t>Does Not Apply</w:t>
            </w:r>
          </w:p>
        </w:tc>
      </w:tr>
      <w:tr w:rsidR="00683C7C" w:rsidRPr="00C27EA6" w14:paraId="2F72B178" w14:textId="77777777" w:rsidTr="00EC6926">
        <w:trPr>
          <w:cantSplit/>
        </w:trPr>
        <w:tc>
          <w:tcPr>
            <w:tcW w:w="2374" w:type="pct"/>
            <w:tcBorders>
              <w:top w:val="single" w:sz="6" w:space="0" w:color="auto"/>
              <w:bottom w:val="single" w:sz="6" w:space="0" w:color="auto"/>
            </w:tcBorders>
          </w:tcPr>
          <w:p w14:paraId="2D92547E" w14:textId="68E97B18" w:rsidR="00683C7C" w:rsidRPr="00C27EA6" w:rsidRDefault="0017292E" w:rsidP="00AA5FAB">
            <w:pPr>
              <w:pStyle w:val="TableDataUnpadded"/>
            </w:pPr>
            <w:r w:rsidRPr="00C27EA6">
              <w:t>Emend (aprepitant) 125 mg Capsule</w:t>
            </w:r>
          </w:p>
        </w:tc>
        <w:tc>
          <w:tcPr>
            <w:tcW w:w="1313" w:type="pct"/>
            <w:tcBorders>
              <w:top w:val="single" w:sz="6" w:space="0" w:color="auto"/>
              <w:bottom w:val="single" w:sz="6" w:space="0" w:color="auto"/>
            </w:tcBorders>
          </w:tcPr>
          <w:p w14:paraId="61C03A97" w14:textId="14A63538" w:rsidR="00683C7C" w:rsidRPr="00C27EA6" w:rsidRDefault="0017292E" w:rsidP="00AA5FAB">
            <w:pPr>
              <w:pStyle w:val="TableDataUnpadded"/>
            </w:pPr>
            <w:r w:rsidRPr="00C27EA6">
              <w:t>4 capsules / 21 days</w:t>
            </w:r>
            <w:r w:rsidR="00D4448D" w:rsidRPr="00C27EA6">
              <w:t xml:space="preserve"> </w:t>
            </w:r>
          </w:p>
        </w:tc>
        <w:tc>
          <w:tcPr>
            <w:tcW w:w="1313" w:type="pct"/>
            <w:tcBorders>
              <w:top w:val="single" w:sz="6" w:space="0" w:color="auto"/>
              <w:bottom w:val="single" w:sz="6" w:space="0" w:color="auto"/>
            </w:tcBorders>
          </w:tcPr>
          <w:p w14:paraId="2694A460" w14:textId="3908D8BE" w:rsidR="00683C7C" w:rsidRPr="00C27EA6" w:rsidRDefault="00C964FD" w:rsidP="00AA5FAB">
            <w:pPr>
              <w:pStyle w:val="TableDataUnpadded"/>
            </w:pPr>
            <w:r w:rsidRPr="00C27EA6">
              <w:t>Does Not Apply</w:t>
            </w:r>
          </w:p>
        </w:tc>
      </w:tr>
      <w:tr w:rsidR="0017292E" w:rsidRPr="00C27EA6" w14:paraId="2DE1163F" w14:textId="77777777" w:rsidTr="00EC6926">
        <w:trPr>
          <w:cantSplit/>
        </w:trPr>
        <w:tc>
          <w:tcPr>
            <w:tcW w:w="2374" w:type="pct"/>
            <w:tcBorders>
              <w:top w:val="single" w:sz="6" w:space="0" w:color="auto"/>
              <w:bottom w:val="single" w:sz="4" w:space="0" w:color="auto"/>
              <w:right w:val="single" w:sz="4" w:space="0" w:color="auto"/>
            </w:tcBorders>
          </w:tcPr>
          <w:p w14:paraId="3C9A29BE" w14:textId="77777777" w:rsidR="00175E72" w:rsidRPr="00640750" w:rsidRDefault="00175E72" w:rsidP="00AA5FAB">
            <w:pPr>
              <w:pStyle w:val="TableDataUnpadded"/>
            </w:pPr>
            <w:r w:rsidRPr="00640750">
              <w:t xml:space="preserve">Emend (aprepitant) 125 mg-80 mg Capsules </w:t>
            </w:r>
          </w:p>
          <w:p w14:paraId="2AEED7A6" w14:textId="349E1E11" w:rsidR="0017292E" w:rsidRPr="00C27EA6" w:rsidRDefault="00175E72" w:rsidP="00AA5FAB">
            <w:pPr>
              <w:pStyle w:val="TableDataUnpadded"/>
            </w:pPr>
            <w:r w:rsidRPr="00640750">
              <w:t>(Tri-pack contains one 125 mg capsule and two 80 mg capsules)</w:t>
            </w:r>
          </w:p>
        </w:tc>
        <w:tc>
          <w:tcPr>
            <w:tcW w:w="1313" w:type="pct"/>
            <w:tcBorders>
              <w:top w:val="single" w:sz="6" w:space="0" w:color="auto"/>
              <w:left w:val="single" w:sz="4" w:space="0" w:color="auto"/>
              <w:bottom w:val="single" w:sz="4" w:space="0" w:color="auto"/>
              <w:right w:val="single" w:sz="4" w:space="0" w:color="auto"/>
            </w:tcBorders>
          </w:tcPr>
          <w:p w14:paraId="27D3C1BD" w14:textId="5687F3ED" w:rsidR="0017292E" w:rsidRPr="00C27EA6" w:rsidRDefault="006514AF" w:rsidP="00AA5FAB">
            <w:pPr>
              <w:pStyle w:val="TableDataUnpadded"/>
            </w:pPr>
            <w:r w:rsidRPr="00C27EA6">
              <w:t>4 packs (12 capsules) / 21 days</w:t>
            </w:r>
            <w:r w:rsidR="00D4448D" w:rsidRPr="00C27EA6">
              <w:t xml:space="preserve"> </w:t>
            </w:r>
          </w:p>
        </w:tc>
        <w:tc>
          <w:tcPr>
            <w:tcW w:w="1313" w:type="pct"/>
            <w:tcBorders>
              <w:top w:val="single" w:sz="6" w:space="0" w:color="auto"/>
              <w:left w:val="single" w:sz="4" w:space="0" w:color="auto"/>
              <w:bottom w:val="single" w:sz="4" w:space="0" w:color="auto"/>
            </w:tcBorders>
          </w:tcPr>
          <w:p w14:paraId="01BC3F9D" w14:textId="236FC5B2" w:rsidR="0017292E" w:rsidRPr="00C27EA6" w:rsidRDefault="00C964FD" w:rsidP="00AA5FAB">
            <w:pPr>
              <w:pStyle w:val="TableDataUnpadded"/>
            </w:pPr>
            <w:r w:rsidRPr="00C27EA6">
              <w:t>Does Not Apply</w:t>
            </w:r>
          </w:p>
        </w:tc>
      </w:tr>
      <w:tr w:rsidR="0017292E" w:rsidRPr="00C27EA6" w14:paraId="7A72ADD7" w14:textId="77777777" w:rsidTr="00EC6926">
        <w:trPr>
          <w:cantSplit/>
        </w:trPr>
        <w:tc>
          <w:tcPr>
            <w:tcW w:w="2374" w:type="pct"/>
            <w:tcBorders>
              <w:top w:val="single" w:sz="4" w:space="0" w:color="auto"/>
              <w:bottom w:val="single" w:sz="4" w:space="0" w:color="auto"/>
              <w:right w:val="single" w:sz="4" w:space="0" w:color="auto"/>
            </w:tcBorders>
          </w:tcPr>
          <w:p w14:paraId="77DFCB11" w14:textId="77777777" w:rsidR="007243F5" w:rsidRPr="00640750" w:rsidRDefault="007243F5" w:rsidP="00AA5FAB">
            <w:pPr>
              <w:pStyle w:val="TableDataUnpadded"/>
            </w:pPr>
            <w:r w:rsidRPr="00640750">
              <w:t xml:space="preserve">Emend (aprepitant) 125 mg for Oral Suspension </w:t>
            </w:r>
          </w:p>
          <w:p w14:paraId="7A4E2D29" w14:textId="6B4EA3F8" w:rsidR="0017292E" w:rsidRPr="00C27EA6" w:rsidRDefault="007243F5" w:rsidP="00AA5FAB">
            <w:pPr>
              <w:pStyle w:val="TableDataUnpadded"/>
            </w:pPr>
            <w:r w:rsidRPr="00640750">
              <w:t>(Single-Dose Kit contains 125 mg / 5 mL)</w:t>
            </w:r>
          </w:p>
        </w:tc>
        <w:tc>
          <w:tcPr>
            <w:tcW w:w="1313" w:type="pct"/>
            <w:tcBorders>
              <w:top w:val="single" w:sz="4" w:space="0" w:color="auto"/>
              <w:left w:val="single" w:sz="4" w:space="0" w:color="auto"/>
              <w:bottom w:val="single" w:sz="4" w:space="0" w:color="auto"/>
              <w:right w:val="single" w:sz="4" w:space="0" w:color="auto"/>
            </w:tcBorders>
          </w:tcPr>
          <w:p w14:paraId="24277F26" w14:textId="4C47FE78" w:rsidR="0017292E" w:rsidRPr="00C27EA6" w:rsidRDefault="00711F72" w:rsidP="00AA5FAB">
            <w:pPr>
              <w:pStyle w:val="TableDataUnpadded"/>
            </w:pPr>
            <w:r w:rsidRPr="00C27EA6">
              <w:t>12 kits / 21 days</w:t>
            </w:r>
          </w:p>
        </w:tc>
        <w:tc>
          <w:tcPr>
            <w:tcW w:w="1313" w:type="pct"/>
            <w:tcBorders>
              <w:top w:val="single" w:sz="4" w:space="0" w:color="auto"/>
              <w:left w:val="single" w:sz="4" w:space="0" w:color="auto"/>
              <w:bottom w:val="single" w:sz="4" w:space="0" w:color="auto"/>
            </w:tcBorders>
          </w:tcPr>
          <w:p w14:paraId="1A459505" w14:textId="11FFFAE2" w:rsidR="0017292E" w:rsidRPr="00C27EA6" w:rsidRDefault="00C964FD" w:rsidP="00AA5FAB">
            <w:pPr>
              <w:pStyle w:val="TableDataUnpadded"/>
            </w:pPr>
            <w:r w:rsidRPr="00C27EA6">
              <w:t>Does Not Apply</w:t>
            </w:r>
          </w:p>
        </w:tc>
      </w:tr>
      <w:tr w:rsidR="0017292E" w:rsidRPr="00C27EA6" w14:paraId="1A1D7860" w14:textId="77777777" w:rsidTr="00EC6926">
        <w:trPr>
          <w:cantSplit/>
        </w:trPr>
        <w:tc>
          <w:tcPr>
            <w:tcW w:w="2374" w:type="pct"/>
            <w:tcBorders>
              <w:top w:val="single" w:sz="4" w:space="0" w:color="auto"/>
              <w:bottom w:val="single" w:sz="4" w:space="0" w:color="auto"/>
              <w:right w:val="single" w:sz="4" w:space="0" w:color="auto"/>
            </w:tcBorders>
          </w:tcPr>
          <w:p w14:paraId="0CFD61E4" w14:textId="35F3369C" w:rsidR="0017292E" w:rsidRPr="00C27EA6" w:rsidRDefault="00711F72" w:rsidP="00AA5FAB">
            <w:pPr>
              <w:pStyle w:val="TableDataUnpadded"/>
            </w:pPr>
            <w:r w:rsidRPr="00C27EA6">
              <w:t>Emend (fosaprepitant) 150 mg for Injection (Single-Dose 150 mg Vial)</w:t>
            </w:r>
          </w:p>
        </w:tc>
        <w:tc>
          <w:tcPr>
            <w:tcW w:w="1313" w:type="pct"/>
            <w:tcBorders>
              <w:top w:val="single" w:sz="4" w:space="0" w:color="auto"/>
              <w:left w:val="single" w:sz="4" w:space="0" w:color="auto"/>
              <w:bottom w:val="single" w:sz="4" w:space="0" w:color="auto"/>
              <w:right w:val="single" w:sz="4" w:space="0" w:color="auto"/>
            </w:tcBorders>
          </w:tcPr>
          <w:p w14:paraId="6FA12C4F" w14:textId="0D7DD852" w:rsidR="0017292E" w:rsidRPr="00C27EA6" w:rsidRDefault="009A117F" w:rsidP="00AA5FAB">
            <w:pPr>
              <w:pStyle w:val="TableDataUnpadded"/>
            </w:pPr>
            <w:r w:rsidRPr="00C27EA6">
              <w:t>12 vials / 21 days</w:t>
            </w:r>
            <w:r w:rsidR="00D4448D" w:rsidRPr="00C27EA6">
              <w:t xml:space="preserve"> </w:t>
            </w:r>
          </w:p>
        </w:tc>
        <w:tc>
          <w:tcPr>
            <w:tcW w:w="1313" w:type="pct"/>
            <w:tcBorders>
              <w:top w:val="single" w:sz="4" w:space="0" w:color="auto"/>
              <w:left w:val="single" w:sz="4" w:space="0" w:color="auto"/>
              <w:bottom w:val="single" w:sz="4" w:space="0" w:color="auto"/>
            </w:tcBorders>
          </w:tcPr>
          <w:p w14:paraId="152DD3A7" w14:textId="244872F1" w:rsidR="0017292E" w:rsidRPr="00C27EA6" w:rsidRDefault="00C964FD" w:rsidP="00AA5FAB">
            <w:pPr>
              <w:pStyle w:val="TableDataUnpadded"/>
            </w:pPr>
            <w:r w:rsidRPr="00C27EA6">
              <w:t>Does Not Apply</w:t>
            </w:r>
          </w:p>
        </w:tc>
      </w:tr>
      <w:tr w:rsidR="0017292E" w:rsidRPr="00C27EA6" w14:paraId="55E166A3" w14:textId="77777777" w:rsidTr="00EC6926">
        <w:trPr>
          <w:cantSplit/>
        </w:trPr>
        <w:tc>
          <w:tcPr>
            <w:tcW w:w="2374" w:type="pct"/>
            <w:tcBorders>
              <w:top w:val="single" w:sz="4" w:space="0" w:color="auto"/>
              <w:bottom w:val="single" w:sz="4" w:space="0" w:color="auto"/>
              <w:right w:val="single" w:sz="4" w:space="0" w:color="auto"/>
            </w:tcBorders>
          </w:tcPr>
          <w:p w14:paraId="589D9825" w14:textId="77777777" w:rsidR="00F47502" w:rsidRPr="00640750" w:rsidRDefault="00F47502" w:rsidP="00AA5FAB">
            <w:pPr>
              <w:pStyle w:val="TableDataUnpadded"/>
            </w:pPr>
            <w:proofErr w:type="spellStart"/>
            <w:r w:rsidRPr="00640750">
              <w:t>Focinvez</w:t>
            </w:r>
            <w:proofErr w:type="spellEnd"/>
            <w:r w:rsidRPr="00640750">
              <w:t xml:space="preserve"> (</w:t>
            </w:r>
            <w:proofErr w:type="spellStart"/>
            <w:r w:rsidRPr="00640750">
              <w:t>fosaprepitant</w:t>
            </w:r>
            <w:proofErr w:type="spellEnd"/>
            <w:r w:rsidRPr="00640750">
              <w:t>) 150 mg (3 mg / mL) Injection</w:t>
            </w:r>
          </w:p>
          <w:p w14:paraId="77C87C67" w14:textId="4C10432A" w:rsidR="0017292E" w:rsidRPr="00C27EA6" w:rsidRDefault="00F47502" w:rsidP="00AA5FAB">
            <w:pPr>
              <w:pStyle w:val="TableDataUnpadded"/>
            </w:pPr>
            <w:r w:rsidRPr="00640750">
              <w:t>(Single-Dose 150 mg / 50 mL Vial)</w:t>
            </w:r>
          </w:p>
        </w:tc>
        <w:tc>
          <w:tcPr>
            <w:tcW w:w="1313" w:type="pct"/>
            <w:tcBorders>
              <w:top w:val="single" w:sz="4" w:space="0" w:color="auto"/>
              <w:left w:val="single" w:sz="4" w:space="0" w:color="auto"/>
              <w:bottom w:val="single" w:sz="4" w:space="0" w:color="auto"/>
              <w:right w:val="single" w:sz="4" w:space="0" w:color="auto"/>
            </w:tcBorders>
          </w:tcPr>
          <w:p w14:paraId="61596657" w14:textId="078E28EC" w:rsidR="0017292E" w:rsidRPr="00C27EA6" w:rsidRDefault="00C002B4" w:rsidP="00AA5FAB">
            <w:pPr>
              <w:pStyle w:val="TableDataUnpadded"/>
            </w:pPr>
            <w:r w:rsidRPr="00C27EA6">
              <w:t>12 vials / 21 days</w:t>
            </w:r>
          </w:p>
        </w:tc>
        <w:tc>
          <w:tcPr>
            <w:tcW w:w="1313" w:type="pct"/>
            <w:tcBorders>
              <w:top w:val="single" w:sz="4" w:space="0" w:color="auto"/>
              <w:left w:val="single" w:sz="4" w:space="0" w:color="auto"/>
              <w:bottom w:val="single" w:sz="4" w:space="0" w:color="auto"/>
            </w:tcBorders>
          </w:tcPr>
          <w:p w14:paraId="3DB7F93D" w14:textId="0A6E3BEE" w:rsidR="0017292E" w:rsidRPr="00C27EA6" w:rsidRDefault="00C964FD" w:rsidP="00AA5FAB">
            <w:pPr>
              <w:pStyle w:val="TableDataUnpadded"/>
            </w:pPr>
            <w:r w:rsidRPr="00C27EA6">
              <w:t>Does Not Apply</w:t>
            </w:r>
          </w:p>
        </w:tc>
      </w:tr>
      <w:tr w:rsidR="0017292E" w:rsidRPr="00C27EA6" w14:paraId="481FE072" w14:textId="77777777" w:rsidTr="00A9339D">
        <w:trPr>
          <w:cantSplit/>
        </w:trPr>
        <w:tc>
          <w:tcPr>
            <w:tcW w:w="2374" w:type="pct"/>
            <w:tcBorders>
              <w:top w:val="single" w:sz="4" w:space="0" w:color="auto"/>
              <w:bottom w:val="single" w:sz="24" w:space="0" w:color="auto"/>
              <w:right w:val="single" w:sz="4" w:space="0" w:color="auto"/>
            </w:tcBorders>
          </w:tcPr>
          <w:p w14:paraId="63CBBFF8" w14:textId="77777777" w:rsidR="00516B08" w:rsidRPr="00640750" w:rsidRDefault="00516B08" w:rsidP="00AA5FAB">
            <w:pPr>
              <w:pStyle w:val="TableDataUnpadded"/>
            </w:pPr>
            <w:proofErr w:type="spellStart"/>
            <w:r w:rsidRPr="00640750">
              <w:t>Varubi</w:t>
            </w:r>
            <w:proofErr w:type="spellEnd"/>
            <w:r w:rsidRPr="00640750">
              <w:t xml:space="preserve"> </w:t>
            </w:r>
            <w:bookmarkStart w:id="1" w:name="OLE_LINK12"/>
            <w:r w:rsidRPr="00640750">
              <w:t>(</w:t>
            </w:r>
            <w:bookmarkStart w:id="2" w:name="OLE_LINK22"/>
            <w:proofErr w:type="spellStart"/>
            <w:r w:rsidRPr="00640750">
              <w:t>rolapitant</w:t>
            </w:r>
            <w:bookmarkEnd w:id="2"/>
            <w:proofErr w:type="spellEnd"/>
            <w:r w:rsidRPr="00640750">
              <w:t xml:space="preserve">) </w:t>
            </w:r>
            <w:bookmarkEnd w:id="1"/>
            <w:r w:rsidRPr="00640750">
              <w:t xml:space="preserve">90 mg Tablet </w:t>
            </w:r>
          </w:p>
          <w:p w14:paraId="028C8D8B" w14:textId="462536BE" w:rsidR="0017292E" w:rsidRPr="00C27EA6" w:rsidRDefault="00C002B4" w:rsidP="00AA5FAB">
            <w:pPr>
              <w:pStyle w:val="TableDataUnpadded"/>
            </w:pPr>
            <w:r w:rsidRPr="00C27EA6">
              <w:t>(Single Dose Package contains two 90 mg tablets as one set of twinned blisters)</w:t>
            </w:r>
          </w:p>
        </w:tc>
        <w:tc>
          <w:tcPr>
            <w:tcW w:w="1313" w:type="pct"/>
            <w:tcBorders>
              <w:top w:val="single" w:sz="4" w:space="0" w:color="auto"/>
              <w:left w:val="single" w:sz="4" w:space="0" w:color="auto"/>
              <w:bottom w:val="single" w:sz="24" w:space="0" w:color="auto"/>
              <w:right w:val="single" w:sz="4" w:space="0" w:color="auto"/>
            </w:tcBorders>
          </w:tcPr>
          <w:p w14:paraId="651EC3AB" w14:textId="6312FFE1" w:rsidR="0017292E" w:rsidRPr="00C27EA6" w:rsidRDefault="00C002B4" w:rsidP="00AA5FAB">
            <w:pPr>
              <w:pStyle w:val="TableDataUnpadded"/>
            </w:pPr>
            <w:r w:rsidRPr="00C27EA6">
              <w:t>2 packs (4 tablets) / 21 days</w:t>
            </w:r>
          </w:p>
        </w:tc>
        <w:tc>
          <w:tcPr>
            <w:tcW w:w="1313" w:type="pct"/>
            <w:tcBorders>
              <w:top w:val="single" w:sz="4" w:space="0" w:color="auto"/>
              <w:left w:val="single" w:sz="4" w:space="0" w:color="auto"/>
              <w:bottom w:val="single" w:sz="24" w:space="0" w:color="auto"/>
            </w:tcBorders>
          </w:tcPr>
          <w:p w14:paraId="68455D79" w14:textId="26ED8A2F" w:rsidR="0017292E" w:rsidRPr="00C27EA6" w:rsidRDefault="00C964FD" w:rsidP="00AA5FAB">
            <w:pPr>
              <w:pStyle w:val="TableDataUnpadded"/>
            </w:pPr>
            <w:r w:rsidRPr="00C27EA6">
              <w:t>Does Not Apply</w:t>
            </w:r>
          </w:p>
        </w:tc>
      </w:tr>
    </w:tbl>
    <w:p w14:paraId="4CEE4D48" w14:textId="01DFB488" w:rsidR="008F2D37" w:rsidRPr="008F2D37" w:rsidRDefault="008F2D37" w:rsidP="008F2D37">
      <w:pPr>
        <w:pStyle w:val="BodyText"/>
      </w:pPr>
      <w:r w:rsidRPr="008F2D37">
        <w:t>These drugs are for short-term acute use.</w:t>
      </w:r>
    </w:p>
    <w:tbl>
      <w:tblPr>
        <w:tblStyle w:val="TableGrid"/>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4A0" w:firstRow="1" w:lastRow="0" w:firstColumn="1" w:lastColumn="0" w:noHBand="0" w:noVBand="1"/>
      </w:tblPr>
      <w:tblGrid>
        <w:gridCol w:w="5368"/>
        <w:gridCol w:w="5372"/>
      </w:tblGrid>
      <w:tr w:rsidR="00A200C7" w:rsidRPr="00C27EA6" w14:paraId="6E672601" w14:textId="77777777" w:rsidTr="00443A55">
        <w:tc>
          <w:tcPr>
            <w:tcW w:w="5368" w:type="dxa"/>
          </w:tcPr>
          <w:p w14:paraId="33774AAE" w14:textId="4682EF3F" w:rsidR="00A200C7" w:rsidRPr="001B6572" w:rsidRDefault="00A200C7" w:rsidP="00072ADB">
            <w:pPr>
              <w:pStyle w:val="TableHeader"/>
              <w:spacing w:after="120"/>
              <w:rPr>
                <w:rFonts w:eastAsia="Arial"/>
              </w:rPr>
            </w:pPr>
            <w:r w:rsidRPr="001B6572">
              <w:rPr>
                <w:rFonts w:eastAsia="Arial"/>
              </w:rPr>
              <w:t>Drug</w:t>
            </w:r>
          </w:p>
        </w:tc>
        <w:tc>
          <w:tcPr>
            <w:tcW w:w="5372" w:type="dxa"/>
          </w:tcPr>
          <w:p w14:paraId="0278C696" w14:textId="41FDCBAA" w:rsidR="00A200C7" w:rsidRPr="001B6572" w:rsidRDefault="00A200C7" w:rsidP="008F2A4C">
            <w:pPr>
              <w:pStyle w:val="TableHeader"/>
              <w:rPr>
                <w:rFonts w:eastAsia="Arial"/>
              </w:rPr>
            </w:pPr>
            <w:r w:rsidRPr="001B6572">
              <w:rPr>
                <w:rFonts w:eastAsia="Arial"/>
              </w:rPr>
              <w:t>Limit</w:t>
            </w:r>
          </w:p>
        </w:tc>
      </w:tr>
      <w:tr w:rsidR="00A200C7" w:rsidRPr="00C27EA6" w14:paraId="76D9DAC7" w14:textId="77777777" w:rsidTr="00443A55">
        <w:tc>
          <w:tcPr>
            <w:tcW w:w="5368" w:type="dxa"/>
          </w:tcPr>
          <w:p w14:paraId="0629F971" w14:textId="77777777" w:rsidR="00A200C7" w:rsidRPr="00C27EA6" w:rsidRDefault="00A200C7" w:rsidP="004C79B3">
            <w:pPr>
              <w:pStyle w:val="TableDataUnpadded"/>
              <w:rPr>
                <w:rFonts w:cs="Segoe UI"/>
                <w:b/>
                <w:bCs/>
                <w:sz w:val="18"/>
                <w:szCs w:val="18"/>
              </w:rPr>
            </w:pPr>
            <w:r w:rsidRPr="00815A65">
              <w:t>Aprepitant 40 mg Capsule</w:t>
            </w:r>
          </w:p>
        </w:tc>
        <w:tc>
          <w:tcPr>
            <w:tcW w:w="5372" w:type="dxa"/>
          </w:tcPr>
          <w:p w14:paraId="13531F06" w14:textId="2579802D" w:rsidR="00A200C7" w:rsidRPr="00C27EA6" w:rsidRDefault="00A200C7" w:rsidP="004C79B3">
            <w:pPr>
              <w:pStyle w:val="TableDataUnpadded"/>
              <w:rPr>
                <w:rFonts w:cs="Segoe UI"/>
                <w:b/>
                <w:bCs/>
                <w:sz w:val="18"/>
                <w:szCs w:val="18"/>
              </w:rPr>
            </w:pPr>
            <w:r w:rsidRPr="00815A65">
              <w:t>6 capsules / 6 months</w:t>
            </w:r>
          </w:p>
        </w:tc>
      </w:tr>
    </w:tbl>
    <w:p w14:paraId="0DB8AEBE" w14:textId="543B979F" w:rsidR="0026740C" w:rsidRPr="00C27EA6" w:rsidRDefault="0026740C" w:rsidP="00443A55">
      <w:pPr>
        <w:pStyle w:val="Heading2"/>
      </w:pPr>
      <w:r w:rsidRPr="00C27EA6">
        <w:t>Duration of Approval (DOA)</w:t>
      </w:r>
    </w:p>
    <w:p w14:paraId="107A2C1D" w14:textId="77777777" w:rsidR="00455FAE" w:rsidRDefault="0026740C" w:rsidP="00766FCB">
      <w:pPr>
        <w:pStyle w:val="ListParagraph"/>
        <w:numPr>
          <w:ilvl w:val="0"/>
          <w:numId w:val="21"/>
        </w:numPr>
      </w:pPr>
      <w:r w:rsidRPr="00C27EA6">
        <w:t>77-C: DOA: 6 months</w:t>
      </w:r>
    </w:p>
    <w:p w14:paraId="17409917" w14:textId="6362494A" w:rsidR="00C96B3F" w:rsidRPr="00C27EA6" w:rsidRDefault="00C96B3F" w:rsidP="00A9339D">
      <w:pPr>
        <w:pStyle w:val="Heading2"/>
        <w:keepNext w:val="0"/>
      </w:pPr>
      <w:r w:rsidRPr="00C27EA6">
        <w:t>References</w:t>
      </w:r>
    </w:p>
    <w:p w14:paraId="57B94C2B" w14:textId="6842814D" w:rsidR="008505AF" w:rsidRPr="00C27EA6" w:rsidRDefault="008505AF" w:rsidP="00A9339D">
      <w:pPr>
        <w:pStyle w:val="ReferenceOrdered"/>
        <w:keepNext w:val="0"/>
        <w:numPr>
          <w:ilvl w:val="0"/>
          <w:numId w:val="2"/>
        </w:numPr>
        <w:ind w:left="360"/>
        <w:rPr>
          <w:lang w:val="fr-FR"/>
        </w:rPr>
      </w:pPr>
      <w:proofErr w:type="spellStart"/>
      <w:r w:rsidRPr="00C27EA6">
        <w:rPr>
          <w:lang w:val="fr-FR"/>
        </w:rPr>
        <w:t>Aprepitant</w:t>
      </w:r>
      <w:proofErr w:type="spellEnd"/>
      <w:r w:rsidRPr="00C27EA6">
        <w:rPr>
          <w:lang w:val="fr-FR"/>
        </w:rPr>
        <w:t xml:space="preserve"> capsules [package insert]. Princeton, NJ: Sandoz Inc.; </w:t>
      </w:r>
      <w:proofErr w:type="spellStart"/>
      <w:r w:rsidRPr="00C27EA6">
        <w:rPr>
          <w:lang w:val="fr-FR"/>
        </w:rPr>
        <w:t>December</w:t>
      </w:r>
      <w:proofErr w:type="spellEnd"/>
      <w:r w:rsidRPr="00C27EA6">
        <w:rPr>
          <w:lang w:val="fr-FR"/>
        </w:rPr>
        <w:t xml:space="preserve"> 2020.</w:t>
      </w:r>
      <w:r w:rsidR="00D4448D" w:rsidRPr="00C27EA6">
        <w:rPr>
          <w:lang w:val="fr-FR"/>
        </w:rPr>
        <w:t xml:space="preserve"> </w:t>
      </w:r>
    </w:p>
    <w:p w14:paraId="7AABE49C" w14:textId="4A4634F2" w:rsidR="008505AF" w:rsidRPr="00C27EA6" w:rsidRDefault="008505AF" w:rsidP="00A9339D">
      <w:pPr>
        <w:pStyle w:val="ReferenceOrdered"/>
        <w:keepNext w:val="0"/>
        <w:numPr>
          <w:ilvl w:val="0"/>
          <w:numId w:val="2"/>
        </w:numPr>
        <w:ind w:left="360"/>
      </w:pPr>
      <w:r w:rsidRPr="00C27EA6">
        <w:t xml:space="preserve">Cinvanti [package insert]. San Diego, CA: Heron Therapeutics, Inc.; </w:t>
      </w:r>
      <w:r w:rsidR="00425E08">
        <w:t>March</w:t>
      </w:r>
      <w:r w:rsidR="00425E08" w:rsidRPr="00C27EA6">
        <w:t xml:space="preserve"> </w:t>
      </w:r>
      <w:r w:rsidRPr="00C27EA6">
        <w:t>202</w:t>
      </w:r>
      <w:r w:rsidR="00425E08">
        <w:t>4</w:t>
      </w:r>
      <w:r w:rsidRPr="00C27EA6">
        <w:t>.</w:t>
      </w:r>
      <w:r w:rsidR="00D4448D" w:rsidRPr="00C27EA6">
        <w:t xml:space="preserve"> </w:t>
      </w:r>
    </w:p>
    <w:p w14:paraId="2F6E3074" w14:textId="0D014132" w:rsidR="008505AF" w:rsidRPr="00C27EA6" w:rsidRDefault="008505AF" w:rsidP="00A9339D">
      <w:pPr>
        <w:pStyle w:val="ReferenceOrdered"/>
        <w:keepNext w:val="0"/>
        <w:numPr>
          <w:ilvl w:val="0"/>
          <w:numId w:val="2"/>
        </w:numPr>
        <w:ind w:left="360"/>
      </w:pPr>
      <w:r w:rsidRPr="00C27EA6">
        <w:t>Emend capsules and oral suspension [package insert]. Rahway, NJ: Merck Sharp &amp; Dohme LLC; May 2022.</w:t>
      </w:r>
      <w:r w:rsidR="00D4448D" w:rsidRPr="00C27EA6">
        <w:t xml:space="preserve"> </w:t>
      </w:r>
    </w:p>
    <w:p w14:paraId="46673F3F" w14:textId="75F1776F" w:rsidR="005934B7" w:rsidRPr="00C27EA6" w:rsidRDefault="008505AF" w:rsidP="00A9339D">
      <w:pPr>
        <w:pStyle w:val="ReferenceOrdered"/>
        <w:keepNext w:val="0"/>
        <w:numPr>
          <w:ilvl w:val="0"/>
          <w:numId w:val="2"/>
        </w:numPr>
        <w:ind w:left="360"/>
      </w:pPr>
      <w:r w:rsidRPr="00C27EA6">
        <w:t>Emend for injection [package insert]. Whitehouse Station, NJ: Merck Sharp &amp; Dohme Corp., a subsidiary of Merck and Co., Inc.; May 2022.</w:t>
      </w:r>
    </w:p>
    <w:p w14:paraId="594B0933" w14:textId="77777777" w:rsidR="008505AF" w:rsidRPr="00C27EA6" w:rsidRDefault="008505AF" w:rsidP="00A9339D">
      <w:pPr>
        <w:pStyle w:val="ReferenceOrdered"/>
        <w:keepNext w:val="0"/>
        <w:numPr>
          <w:ilvl w:val="0"/>
          <w:numId w:val="2"/>
        </w:numPr>
        <w:ind w:left="360"/>
      </w:pPr>
      <w:proofErr w:type="spellStart"/>
      <w:r w:rsidRPr="00C27EA6">
        <w:t>Focinvez</w:t>
      </w:r>
      <w:proofErr w:type="spellEnd"/>
      <w:r w:rsidRPr="00C27EA6">
        <w:t xml:space="preserve"> [package insert]. North Brunswick, NJ: Spes Pharmaceuticals Inc.; August 2023. </w:t>
      </w:r>
    </w:p>
    <w:p w14:paraId="2EACC803" w14:textId="77777777" w:rsidR="008505AF" w:rsidRPr="00C27EA6" w:rsidRDefault="008505AF" w:rsidP="00A9339D">
      <w:pPr>
        <w:pStyle w:val="ReferenceOrdered"/>
        <w:keepNext w:val="0"/>
        <w:numPr>
          <w:ilvl w:val="0"/>
          <w:numId w:val="2"/>
        </w:numPr>
        <w:ind w:left="360"/>
      </w:pPr>
      <w:proofErr w:type="spellStart"/>
      <w:r w:rsidRPr="00C27EA6">
        <w:t>Varubi</w:t>
      </w:r>
      <w:proofErr w:type="spellEnd"/>
      <w:r w:rsidRPr="00C27EA6">
        <w:t xml:space="preserve"> [package insert]. Deerfield, IL: </w:t>
      </w:r>
      <w:proofErr w:type="spellStart"/>
      <w:r w:rsidRPr="00C27EA6">
        <w:t>TerSera</w:t>
      </w:r>
      <w:proofErr w:type="spellEnd"/>
      <w:r w:rsidRPr="00C27EA6">
        <w:t xml:space="preserve"> Therapeutics LLC; August 2020. </w:t>
      </w:r>
    </w:p>
    <w:p w14:paraId="3581F6CE" w14:textId="2EE3CEDC" w:rsidR="008505AF" w:rsidRPr="00C27EA6" w:rsidRDefault="008505AF" w:rsidP="00A9339D">
      <w:pPr>
        <w:pStyle w:val="ReferenceOrdered"/>
        <w:keepNext w:val="0"/>
        <w:numPr>
          <w:ilvl w:val="0"/>
          <w:numId w:val="2"/>
        </w:numPr>
        <w:ind w:left="360"/>
      </w:pPr>
      <w:r w:rsidRPr="00C27EA6">
        <w:t>Lexicomp Online, AHFS DI (Adult and Pediatric) Online. Waltham, MA: UpToDate, Inc.; 202</w:t>
      </w:r>
      <w:r w:rsidR="00B16E0E">
        <w:t>4</w:t>
      </w:r>
      <w:r w:rsidRPr="00C27EA6">
        <w:t>. https://online.lexi.com. Accessed December 1</w:t>
      </w:r>
      <w:r w:rsidR="00A01109">
        <w:t>1</w:t>
      </w:r>
      <w:r w:rsidRPr="00C27EA6">
        <w:t>, 202</w:t>
      </w:r>
      <w:r w:rsidR="004B30EC">
        <w:t>4</w:t>
      </w:r>
      <w:r w:rsidRPr="00C27EA6">
        <w:t xml:space="preserve">. </w:t>
      </w:r>
    </w:p>
    <w:p w14:paraId="7B9455F7" w14:textId="2143F8AA" w:rsidR="006B6C20" w:rsidRDefault="008505AF" w:rsidP="00A9339D">
      <w:pPr>
        <w:pStyle w:val="ReferenceOrdered"/>
        <w:keepNext w:val="0"/>
        <w:numPr>
          <w:ilvl w:val="0"/>
          <w:numId w:val="2"/>
        </w:numPr>
        <w:ind w:left="360"/>
      </w:pPr>
      <w:r w:rsidRPr="00C27EA6">
        <w:t>Micromedex</w:t>
      </w:r>
      <w:r w:rsidR="00E15D25">
        <w:t>®</w:t>
      </w:r>
      <w:r w:rsidRPr="00C27EA6">
        <w:t xml:space="preserve"> (electronic version). </w:t>
      </w:r>
      <w:proofErr w:type="spellStart"/>
      <w:r w:rsidRPr="00C27EA6">
        <w:t>Merative</w:t>
      </w:r>
      <w:proofErr w:type="spellEnd"/>
      <w:r w:rsidRPr="00C27EA6">
        <w:t>, Ann Arbor, Michigan, USA. Available at: https://www.micromedexsolutions.com/ (cited: 12/1</w:t>
      </w:r>
      <w:r w:rsidR="00A01109">
        <w:t>1</w:t>
      </w:r>
      <w:r w:rsidRPr="00C27EA6">
        <w:t>/202</w:t>
      </w:r>
      <w:r w:rsidR="00A01109">
        <w:t>4</w:t>
      </w:r>
      <w:r w:rsidRPr="00C27EA6">
        <w:t>).</w:t>
      </w:r>
    </w:p>
    <w:p w14:paraId="7323E901" w14:textId="25A86B94" w:rsidR="008505AF" w:rsidRPr="00C27EA6" w:rsidRDefault="008505AF" w:rsidP="00A9339D">
      <w:pPr>
        <w:pStyle w:val="ReferenceOrdered"/>
        <w:keepNext w:val="0"/>
        <w:numPr>
          <w:ilvl w:val="0"/>
          <w:numId w:val="2"/>
        </w:numPr>
        <w:ind w:left="360"/>
      </w:pPr>
      <w:r w:rsidRPr="00C27EA6">
        <w:t>National Comprehensive Cancer Network. Clinical Practice Guidelines in Oncology. Antiemesis. Version 2.202</w:t>
      </w:r>
      <w:r w:rsidR="00A01109">
        <w:t>4</w:t>
      </w:r>
      <w:r w:rsidRPr="00C27EA6">
        <w:t xml:space="preserve">. Available at: https://www.nccn.org/professionals/physician_gls/pdf/antiemesis.pdf. Accessed November </w:t>
      </w:r>
      <w:r w:rsidR="00A01109">
        <w:t>29</w:t>
      </w:r>
      <w:r w:rsidRPr="00C27EA6">
        <w:t>, 202</w:t>
      </w:r>
      <w:r w:rsidR="00A01109">
        <w:t>4</w:t>
      </w:r>
      <w:r w:rsidRPr="00C27EA6">
        <w:t>.</w:t>
      </w:r>
      <w:r w:rsidR="00D4448D" w:rsidRPr="00C27EA6">
        <w:t xml:space="preserve"> </w:t>
      </w:r>
    </w:p>
    <w:p w14:paraId="2F694B5A" w14:textId="619D5B8A" w:rsidR="008A7DD8" w:rsidRPr="00C27EA6" w:rsidRDefault="008505AF" w:rsidP="00A9339D">
      <w:pPr>
        <w:pStyle w:val="ReferenceOrdered"/>
        <w:keepNext w:val="0"/>
        <w:numPr>
          <w:ilvl w:val="0"/>
          <w:numId w:val="2"/>
        </w:numPr>
        <w:ind w:left="360"/>
      </w:pPr>
      <w:r w:rsidRPr="00C27EA6">
        <w:t xml:space="preserve">American Cancer Society. How is Chemotherapy Used to Treat Cancer? https://www.cancer.org/treatment/treatments-and-side-effects/treatment-types/chemotherapy/how-is-chemotherapy-used-to-treat-cancer.html. November 2019. Accessed November </w:t>
      </w:r>
      <w:r w:rsidR="00A01109">
        <w:t>29</w:t>
      </w:r>
      <w:r w:rsidRPr="00C27EA6">
        <w:t>, 202</w:t>
      </w:r>
      <w:r w:rsidR="00A01109">
        <w:t>4.</w:t>
      </w:r>
    </w:p>
    <w:sectPr w:rsidR="008A7DD8" w:rsidRPr="00C27EA6" w:rsidSect="00B43722">
      <w:headerReference w:type="even" r:id="rId15"/>
      <w:headerReference w:type="default" r:id="rId16"/>
      <w:headerReference w:type="first" r:id="rId17"/>
      <w:footerReference w:type="first" r:id="rId18"/>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B4E97" w14:textId="77777777" w:rsidR="005D21F3" w:rsidRDefault="005D21F3">
      <w:r>
        <w:separator/>
      </w:r>
    </w:p>
  </w:endnote>
  <w:endnote w:type="continuationSeparator" w:id="0">
    <w:p w14:paraId="15706A97" w14:textId="77777777" w:rsidR="005D21F3" w:rsidRDefault="005D21F3">
      <w:r>
        <w:continuationSeparator/>
      </w:r>
    </w:p>
  </w:endnote>
  <w:endnote w:type="continuationNotice" w:id="1">
    <w:p w14:paraId="1E3174F6" w14:textId="77777777" w:rsidR="005D21F3" w:rsidRDefault="005D21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1FF37" w14:textId="6688E621" w:rsidR="001B6572" w:rsidRPr="002C4070" w:rsidRDefault="001B6572" w:rsidP="005934B7">
    <w:pPr>
      <w:tabs>
        <w:tab w:val="right" w:pos="10710"/>
      </w:tabs>
      <w:spacing w:before="120" w:after="120"/>
      <w:rPr>
        <w:rFonts w:cs="Arial"/>
        <w:snapToGrid w:val="0"/>
        <w:color w:val="000000"/>
        <w:sz w:val="16"/>
      </w:rPr>
    </w:pPr>
    <w:r w:rsidRPr="002C4070">
      <w:rPr>
        <w:rFonts w:cs="Arial"/>
        <w:noProof/>
        <w:snapToGrid w:val="0"/>
        <w:color w:val="000000"/>
        <w:sz w:val="16"/>
        <w:szCs w:val="16"/>
        <w:lang w:val="pt-BR"/>
      </w:rPr>
      <w:fldChar w:fldCharType="begin"/>
    </w:r>
    <w:r w:rsidRPr="002C4070">
      <w:rPr>
        <w:rFonts w:cs="Arial"/>
        <w:noProof/>
        <w:snapToGrid w:val="0"/>
        <w:color w:val="000000"/>
        <w:sz w:val="16"/>
        <w:szCs w:val="16"/>
      </w:rPr>
      <w:instrText xml:space="preserve"> FILENAME   \* MERGEFORMAT </w:instrText>
    </w:r>
    <w:r w:rsidRPr="002C4070">
      <w:rPr>
        <w:rFonts w:cs="Arial"/>
        <w:noProof/>
        <w:snapToGrid w:val="0"/>
        <w:color w:val="000000"/>
        <w:sz w:val="16"/>
        <w:szCs w:val="16"/>
        <w:lang w:val="pt-BR"/>
      </w:rPr>
      <w:fldChar w:fldCharType="separate"/>
    </w:r>
    <w:r w:rsidR="00B43722" w:rsidRPr="002C4070">
      <w:rPr>
        <w:rFonts w:cs="Arial"/>
        <w:noProof/>
        <w:sz w:val="16"/>
        <w:szCs w:val="16"/>
      </w:rPr>
      <w:t>Antiemetic</w:t>
    </w:r>
    <w:r w:rsidR="00B43722" w:rsidRPr="002C4070">
      <w:rPr>
        <w:rFonts w:cs="Arial"/>
        <w:noProof/>
        <w:snapToGrid w:val="0"/>
        <w:color w:val="000000"/>
        <w:sz w:val="16"/>
        <w:szCs w:val="16"/>
      </w:rPr>
      <w:t xml:space="preserve"> NK1 PA</w:t>
    </w:r>
    <w:r w:rsidR="00B43722" w:rsidRPr="002C4070">
      <w:rPr>
        <w:rFonts w:cs="Arial"/>
        <w:noProof/>
        <w:sz w:val="16"/>
        <w:szCs w:val="16"/>
      </w:rPr>
      <w:t xml:space="preserve"> with</w:t>
    </w:r>
    <w:r w:rsidR="00B43722" w:rsidRPr="002C4070">
      <w:rPr>
        <w:rFonts w:cs="Arial"/>
        <w:noProof/>
        <w:snapToGrid w:val="0"/>
        <w:color w:val="000000"/>
        <w:sz w:val="16"/>
        <w:szCs w:val="16"/>
      </w:rPr>
      <w:t xml:space="preserve"> Limit 77-C P01-2025.docx</w:t>
    </w:r>
    <w:r w:rsidRPr="002C4070">
      <w:rPr>
        <w:rFonts w:cs="Arial"/>
        <w:noProof/>
        <w:sz w:val="16"/>
        <w:szCs w:val="16"/>
      </w:rPr>
      <w:fldChar w:fldCharType="end"/>
    </w:r>
    <w:r w:rsidRPr="002C4070">
      <w:rPr>
        <w:rFonts w:cs="Arial"/>
        <w:snapToGrid w:val="0"/>
        <w:color w:val="000000"/>
        <w:sz w:val="16"/>
      </w:rPr>
      <w:tab/>
      <w:t>© 202</w:t>
    </w:r>
    <w:r w:rsidR="00F9603E" w:rsidRPr="002C4070">
      <w:rPr>
        <w:rFonts w:cs="Arial"/>
        <w:snapToGrid w:val="0"/>
        <w:color w:val="000000"/>
        <w:sz w:val="16"/>
      </w:rPr>
      <w:t>5</w:t>
    </w:r>
    <w:r w:rsidRPr="002C4070">
      <w:rPr>
        <w:rFonts w:cs="Arial"/>
        <w:snapToGrid w:val="0"/>
        <w:color w:val="000000"/>
        <w:sz w:val="16"/>
      </w:rPr>
      <w:t xml:space="preserve"> CVS Caremark. All rights reserved.</w:t>
    </w:r>
  </w:p>
  <w:p w14:paraId="59A89C2C" w14:textId="35DDA09A" w:rsidR="001B6572" w:rsidRPr="002C4070" w:rsidRDefault="001B6572" w:rsidP="005934B7">
    <w:pPr>
      <w:tabs>
        <w:tab w:val="center" w:pos="4320"/>
        <w:tab w:val="right" w:pos="8640"/>
      </w:tabs>
      <w:spacing w:after="200"/>
      <w:rPr>
        <w:rFonts w:cs="Arial"/>
        <w:sz w:val="16"/>
        <w:szCs w:val="16"/>
      </w:rPr>
    </w:pPr>
    <w:r w:rsidRPr="002C4070">
      <w:rPr>
        <w:rFonts w:cs="Arial"/>
        <w:sz w:val="16"/>
        <w:szCs w:val="16"/>
      </w:rPr>
      <w:t>This document contains c</w:t>
    </w:r>
    <w:r w:rsidRPr="002C4070">
      <w:rPr>
        <w:rFonts w:cs="Arial"/>
        <w:snapToGrid w:val="0"/>
        <w:sz w:val="16"/>
        <w:szCs w:val="16"/>
      </w:rPr>
      <w:t xml:space="preserve">onfidential and proprietary information of CVS Caremark and cannot be reproduced, distributed or printed without written permission from CVS Caremark. </w:t>
    </w:r>
    <w:r w:rsidRPr="002C4070">
      <w:rPr>
        <w:rFonts w:cs="Arial"/>
        <w:sz w:val="16"/>
        <w:szCs w:val="16"/>
      </w:rPr>
      <w:t xml:space="preserve">This document contains prescription brand name drugs that are trademarks or registered trademarks of pharmaceutical manufacturers that are not affiliated with </w:t>
    </w:r>
    <w:r w:rsidRPr="002C4070">
      <w:rPr>
        <w:rFonts w:cs="Arial"/>
        <w:snapToGrid w:val="0"/>
        <w:sz w:val="16"/>
        <w:szCs w:val="16"/>
      </w:rPr>
      <w:t>CVS Caremark</w:t>
    </w:r>
    <w:r w:rsidRPr="002C4070">
      <w:rPr>
        <w:rFonts w:cs="Arial"/>
        <w:sz w:val="16"/>
        <w:szCs w:val="16"/>
      </w:rPr>
      <w:t>.</w:t>
    </w:r>
  </w:p>
  <w:p w14:paraId="7696CEC4" w14:textId="1601A155" w:rsidR="001B6572" w:rsidRPr="002C4070" w:rsidRDefault="001B6572" w:rsidP="008F2A4C">
    <w:pPr>
      <w:autoSpaceDE w:val="0"/>
      <w:autoSpaceDN w:val="0"/>
      <w:adjustRightInd w:val="0"/>
      <w:jc w:val="center"/>
      <w:rPr>
        <w:sz w:val="16"/>
        <w:szCs w:val="16"/>
      </w:rPr>
    </w:pPr>
    <w:r w:rsidRPr="002C4070">
      <w:rPr>
        <w:rFonts w:cs="Arial"/>
        <w:sz w:val="16"/>
        <w:szCs w:val="16"/>
      </w:rPr>
      <w:fldChar w:fldCharType="begin"/>
    </w:r>
    <w:r w:rsidRPr="002C4070">
      <w:rPr>
        <w:rFonts w:cs="Arial"/>
        <w:sz w:val="16"/>
        <w:szCs w:val="16"/>
      </w:rPr>
      <w:instrText xml:space="preserve"> PAGE </w:instrText>
    </w:r>
    <w:r w:rsidRPr="002C4070">
      <w:rPr>
        <w:rFonts w:cs="Arial"/>
        <w:sz w:val="16"/>
        <w:szCs w:val="16"/>
      </w:rPr>
      <w:fldChar w:fldCharType="separate"/>
    </w:r>
    <w:r w:rsidRPr="002C4070">
      <w:rPr>
        <w:rFonts w:cs="Arial"/>
        <w:sz w:val="16"/>
        <w:szCs w:val="16"/>
      </w:rPr>
      <w:t>1</w:t>
    </w:r>
    <w:r w:rsidRPr="002C4070">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93283" w14:textId="72E8C05B" w:rsidR="00443A55" w:rsidRPr="00EC47B6" w:rsidRDefault="00443A55" w:rsidP="00443A55">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B43722" w:rsidRPr="00B43722">
      <w:rPr>
        <w:rFonts w:cs="Arial"/>
        <w:noProof/>
        <w:sz w:val="16"/>
        <w:szCs w:val="16"/>
      </w:rPr>
      <w:t>Antiemetic</w:t>
    </w:r>
    <w:r w:rsidR="00B43722">
      <w:rPr>
        <w:rFonts w:cs="Arial"/>
        <w:noProof/>
        <w:snapToGrid w:val="0"/>
        <w:color w:val="000000"/>
        <w:sz w:val="16"/>
        <w:szCs w:val="16"/>
      </w:rPr>
      <w:t xml:space="preserve"> NK1 PA</w:t>
    </w:r>
    <w:r w:rsidR="00B43722" w:rsidRPr="00B43722">
      <w:rPr>
        <w:rFonts w:cs="Arial"/>
        <w:noProof/>
        <w:sz w:val="16"/>
        <w:szCs w:val="16"/>
      </w:rPr>
      <w:t xml:space="preserve"> with</w:t>
    </w:r>
    <w:r w:rsidR="00B43722">
      <w:rPr>
        <w:rFonts w:cs="Arial"/>
        <w:noProof/>
        <w:snapToGrid w:val="0"/>
        <w:color w:val="000000"/>
        <w:sz w:val="16"/>
        <w:szCs w:val="16"/>
      </w:rPr>
      <w:t xml:space="preserve"> Limit 77-C P01-2025.docx</w:t>
    </w:r>
    <w:r w:rsidRPr="00EC47B6">
      <w:rPr>
        <w:rFonts w:cs="Arial"/>
        <w:noProof/>
        <w:sz w:val="16"/>
        <w:szCs w:val="16"/>
      </w:rPr>
      <w:fldChar w:fldCharType="end"/>
    </w:r>
    <w:r w:rsidRPr="00EC47B6">
      <w:rPr>
        <w:rFonts w:cs="Arial"/>
        <w:snapToGrid w:val="0"/>
        <w:color w:val="000000"/>
        <w:sz w:val="16"/>
      </w:rPr>
      <w:tab/>
      <w:t>© 202</w:t>
    </w:r>
    <w:r w:rsidR="00F9603E">
      <w:rPr>
        <w:rFonts w:cs="Arial"/>
        <w:snapToGrid w:val="0"/>
        <w:color w:val="000000"/>
        <w:sz w:val="16"/>
      </w:rPr>
      <w:t>5</w:t>
    </w:r>
    <w:r w:rsidRPr="00EC47B6">
      <w:rPr>
        <w:rFonts w:cs="Arial"/>
        <w:snapToGrid w:val="0"/>
        <w:color w:val="000000"/>
        <w:sz w:val="16"/>
      </w:rPr>
      <w:t xml:space="preserve"> CVS Caremark. All rights reserved.</w:t>
    </w:r>
  </w:p>
  <w:p w14:paraId="5E73952B" w14:textId="470A12CB" w:rsidR="00443A55" w:rsidRPr="00EC47B6" w:rsidRDefault="00443A55" w:rsidP="00443A55">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7925E3F7" w14:textId="5BBEAA36" w:rsidR="00443A55" w:rsidRPr="00AA1E6A" w:rsidRDefault="00443A55" w:rsidP="008F2A4C">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5</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02725" w14:textId="506BBE43" w:rsidR="006B6C20" w:rsidRPr="006B6C20" w:rsidRDefault="006B6C20" w:rsidP="006B6C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D0778" w14:textId="77777777" w:rsidR="005D21F3" w:rsidRDefault="005D21F3">
      <w:r>
        <w:separator/>
      </w:r>
    </w:p>
  </w:footnote>
  <w:footnote w:type="continuationSeparator" w:id="0">
    <w:p w14:paraId="1A968194" w14:textId="77777777" w:rsidR="005D21F3" w:rsidRDefault="005D21F3">
      <w:r>
        <w:continuationSeparator/>
      </w:r>
    </w:p>
  </w:footnote>
  <w:footnote w:type="continuationNotice" w:id="1">
    <w:p w14:paraId="6219F07A" w14:textId="77777777" w:rsidR="005D21F3" w:rsidRDefault="005D21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443A55" w:rsidRPr="00BD1CC1" w14:paraId="63E0E80D" w14:textId="77777777" w:rsidTr="004445CA">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5D5BDD8" w14:textId="77777777" w:rsidR="00443A55" w:rsidRPr="00EC47B6" w:rsidRDefault="00443A55" w:rsidP="00443A55">
          <w:pPr>
            <w:pStyle w:val="RefTableData"/>
          </w:pPr>
          <w:r w:rsidRPr="00F246C7">
            <w:t>Reference number(s</w:t>
          </w:r>
          <w:r w:rsidRPr="00EC47B6">
            <w:t>)</w:t>
          </w:r>
        </w:p>
      </w:tc>
    </w:tr>
    <w:tr w:rsidR="00443A55" w:rsidRPr="00BD1CC1" w14:paraId="316F0110" w14:textId="77777777" w:rsidTr="004445CA">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463319BB" w14:textId="77777777" w:rsidR="00443A55" w:rsidRPr="00FF66BF" w:rsidRDefault="00443A55" w:rsidP="00443A55">
          <w:pPr>
            <w:pStyle w:val="RefTableHeader"/>
          </w:pPr>
          <w:r>
            <w:t>77-C</w:t>
          </w:r>
        </w:p>
      </w:tc>
    </w:tr>
  </w:tbl>
  <w:p w14:paraId="37FD7981" w14:textId="6E9DFB07" w:rsidR="00443A55" w:rsidRPr="00443A55" w:rsidRDefault="00443A55">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78AA2" w14:textId="44961508" w:rsidR="00F9603E" w:rsidRDefault="00F960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2B1FB8" w:rsidRPr="00BD1CC1" w14:paraId="09A4C6AB" w14:textId="77777777" w:rsidTr="006A37C9">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87FCB3D" w14:textId="77777777" w:rsidR="002B1FB8" w:rsidRPr="00EC47B6" w:rsidRDefault="002B1FB8" w:rsidP="002B1FB8">
          <w:pPr>
            <w:pStyle w:val="RefTableData"/>
          </w:pPr>
          <w:r w:rsidRPr="00F246C7">
            <w:t>Reference number(s</w:t>
          </w:r>
          <w:r w:rsidRPr="00EC47B6">
            <w:t>)</w:t>
          </w:r>
        </w:p>
      </w:tc>
    </w:tr>
    <w:tr w:rsidR="002B1FB8" w:rsidRPr="00BD1CC1" w14:paraId="1C314DC6" w14:textId="77777777" w:rsidTr="006A37C9">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116649FE" w14:textId="77777777" w:rsidR="002B1FB8" w:rsidRPr="00FF66BF" w:rsidRDefault="002B1FB8" w:rsidP="002B1FB8">
          <w:pPr>
            <w:pStyle w:val="RefTableHeader"/>
          </w:pPr>
          <w:r>
            <w:t>77-C</w:t>
          </w:r>
        </w:p>
      </w:tc>
    </w:tr>
  </w:tbl>
  <w:p w14:paraId="6395BA6F" w14:textId="4CB1A02F" w:rsidR="00F9603E" w:rsidRPr="00B43722" w:rsidRDefault="00F9603E">
    <w:pPr>
      <w:pStyle w:val="Header"/>
      <w:rPr>
        <w:sz w:val="6"/>
        <w:szCs w:val="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FEFA5" w14:textId="3DB42FAF" w:rsidR="00F9603E" w:rsidRDefault="00F960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193412"/>
    <w:multiLevelType w:val="hybridMultilevel"/>
    <w:tmpl w:val="10085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71D7613"/>
    <w:multiLevelType w:val="hybridMultilevel"/>
    <w:tmpl w:val="1E88C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D9E7639"/>
    <w:multiLevelType w:val="hybridMultilevel"/>
    <w:tmpl w:val="83000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EF65FA"/>
    <w:multiLevelType w:val="hybridMultilevel"/>
    <w:tmpl w:val="036C9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B54DAC"/>
    <w:multiLevelType w:val="hybridMultilevel"/>
    <w:tmpl w:val="295AE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8927B9"/>
    <w:multiLevelType w:val="hybridMultilevel"/>
    <w:tmpl w:val="3B0A8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935E92"/>
    <w:multiLevelType w:val="hybridMultilevel"/>
    <w:tmpl w:val="8632B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C15F56"/>
    <w:multiLevelType w:val="hybridMultilevel"/>
    <w:tmpl w:val="FF82D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447019"/>
    <w:multiLevelType w:val="hybridMultilevel"/>
    <w:tmpl w:val="7E983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8326B1"/>
    <w:multiLevelType w:val="hybridMultilevel"/>
    <w:tmpl w:val="0470AB48"/>
    <w:lvl w:ilvl="0" w:tplc="6296AE6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2D0E83"/>
    <w:multiLevelType w:val="hybridMultilevel"/>
    <w:tmpl w:val="D3560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ED19EF"/>
    <w:multiLevelType w:val="hybridMultilevel"/>
    <w:tmpl w:val="21CC0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6"/>
  </w:num>
  <w:num w:numId="3" w16cid:durableId="611589570">
    <w:abstractNumId w:val="22"/>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8"/>
  </w:num>
  <w:num w:numId="17" w16cid:durableId="2128498676">
    <w:abstractNumId w:val="29"/>
  </w:num>
  <w:num w:numId="18" w16cid:durableId="299724409">
    <w:abstractNumId w:val="25"/>
  </w:num>
  <w:num w:numId="19" w16cid:durableId="214585573">
    <w:abstractNumId w:val="15"/>
  </w:num>
  <w:num w:numId="20" w16cid:durableId="1066490929">
    <w:abstractNumId w:val="30"/>
  </w:num>
  <w:num w:numId="21" w16cid:durableId="1393701017">
    <w:abstractNumId w:val="16"/>
  </w:num>
  <w:num w:numId="22" w16cid:durableId="1969778844">
    <w:abstractNumId w:val="27"/>
  </w:num>
  <w:num w:numId="23" w16cid:durableId="244337402">
    <w:abstractNumId w:val="17"/>
  </w:num>
  <w:num w:numId="24" w16cid:durableId="1823740142">
    <w:abstractNumId w:val="20"/>
  </w:num>
  <w:num w:numId="25" w16cid:durableId="1288121171">
    <w:abstractNumId w:val="23"/>
  </w:num>
  <w:num w:numId="26" w16cid:durableId="416563070">
    <w:abstractNumId w:val="14"/>
  </w:num>
  <w:num w:numId="27" w16cid:durableId="994993840">
    <w:abstractNumId w:val="21"/>
  </w:num>
  <w:num w:numId="28" w16cid:durableId="206065791">
    <w:abstractNumId w:val="24"/>
  </w:num>
  <w:num w:numId="29" w16cid:durableId="1012494166">
    <w:abstractNumId w:val="12"/>
  </w:num>
  <w:num w:numId="30" w16cid:durableId="1404179069">
    <w:abstractNumId w:val="28"/>
  </w:num>
  <w:num w:numId="31" w16cid:durableId="1166089075">
    <w:abstractNumId w:val="1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6D6"/>
    <w:rsid w:val="00010A20"/>
    <w:rsid w:val="00010FE0"/>
    <w:rsid w:val="00011D89"/>
    <w:rsid w:val="00011ED0"/>
    <w:rsid w:val="00012717"/>
    <w:rsid w:val="00012727"/>
    <w:rsid w:val="00012BCD"/>
    <w:rsid w:val="00013653"/>
    <w:rsid w:val="00014059"/>
    <w:rsid w:val="000141E7"/>
    <w:rsid w:val="000148F0"/>
    <w:rsid w:val="00014F64"/>
    <w:rsid w:val="00016A2E"/>
    <w:rsid w:val="00017860"/>
    <w:rsid w:val="00017EE8"/>
    <w:rsid w:val="000200D2"/>
    <w:rsid w:val="000203D2"/>
    <w:rsid w:val="00020F76"/>
    <w:rsid w:val="0002111C"/>
    <w:rsid w:val="000218F1"/>
    <w:rsid w:val="00021A0A"/>
    <w:rsid w:val="00021C51"/>
    <w:rsid w:val="00021F62"/>
    <w:rsid w:val="00022D21"/>
    <w:rsid w:val="0002338D"/>
    <w:rsid w:val="00023E5C"/>
    <w:rsid w:val="00024BB4"/>
    <w:rsid w:val="000255D0"/>
    <w:rsid w:val="0002595C"/>
    <w:rsid w:val="00025B47"/>
    <w:rsid w:val="00026803"/>
    <w:rsid w:val="00026DD8"/>
    <w:rsid w:val="000273F0"/>
    <w:rsid w:val="00030714"/>
    <w:rsid w:val="00030C13"/>
    <w:rsid w:val="00030CF7"/>
    <w:rsid w:val="000311EC"/>
    <w:rsid w:val="000315F1"/>
    <w:rsid w:val="000318EA"/>
    <w:rsid w:val="0003203C"/>
    <w:rsid w:val="00032275"/>
    <w:rsid w:val="00032659"/>
    <w:rsid w:val="00032924"/>
    <w:rsid w:val="00036079"/>
    <w:rsid w:val="00037636"/>
    <w:rsid w:val="00037A95"/>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4725"/>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892"/>
    <w:rsid w:val="00082CE9"/>
    <w:rsid w:val="000837A5"/>
    <w:rsid w:val="00083890"/>
    <w:rsid w:val="00083E63"/>
    <w:rsid w:val="00083FC9"/>
    <w:rsid w:val="00085375"/>
    <w:rsid w:val="00085913"/>
    <w:rsid w:val="00085D37"/>
    <w:rsid w:val="00086953"/>
    <w:rsid w:val="0008786D"/>
    <w:rsid w:val="00090142"/>
    <w:rsid w:val="00090C1B"/>
    <w:rsid w:val="000913DE"/>
    <w:rsid w:val="00091E1D"/>
    <w:rsid w:val="00093AB5"/>
    <w:rsid w:val="00094A59"/>
    <w:rsid w:val="00095B93"/>
    <w:rsid w:val="00095B9C"/>
    <w:rsid w:val="0009781E"/>
    <w:rsid w:val="000A0CCE"/>
    <w:rsid w:val="000A11B6"/>
    <w:rsid w:val="000A1653"/>
    <w:rsid w:val="000A1ACD"/>
    <w:rsid w:val="000A2697"/>
    <w:rsid w:val="000A34B0"/>
    <w:rsid w:val="000A3543"/>
    <w:rsid w:val="000A42D7"/>
    <w:rsid w:val="000A5AE5"/>
    <w:rsid w:val="000A71EC"/>
    <w:rsid w:val="000A7D51"/>
    <w:rsid w:val="000B0F9D"/>
    <w:rsid w:val="000B104D"/>
    <w:rsid w:val="000B1961"/>
    <w:rsid w:val="000B20CD"/>
    <w:rsid w:val="000B285B"/>
    <w:rsid w:val="000B40A1"/>
    <w:rsid w:val="000B57DC"/>
    <w:rsid w:val="000B5871"/>
    <w:rsid w:val="000B5E31"/>
    <w:rsid w:val="000B6086"/>
    <w:rsid w:val="000B61D7"/>
    <w:rsid w:val="000B7167"/>
    <w:rsid w:val="000B71C5"/>
    <w:rsid w:val="000B7827"/>
    <w:rsid w:val="000B7CFC"/>
    <w:rsid w:val="000C0314"/>
    <w:rsid w:val="000C1120"/>
    <w:rsid w:val="000C1550"/>
    <w:rsid w:val="000C2343"/>
    <w:rsid w:val="000C3B5A"/>
    <w:rsid w:val="000C5A6F"/>
    <w:rsid w:val="000C625F"/>
    <w:rsid w:val="000C6C34"/>
    <w:rsid w:val="000C6D17"/>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202A"/>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3408"/>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5D7"/>
    <w:rsid w:val="00162951"/>
    <w:rsid w:val="001630B4"/>
    <w:rsid w:val="00165258"/>
    <w:rsid w:val="00165670"/>
    <w:rsid w:val="00165A99"/>
    <w:rsid w:val="001675AA"/>
    <w:rsid w:val="00170325"/>
    <w:rsid w:val="0017292E"/>
    <w:rsid w:val="00173AB9"/>
    <w:rsid w:val="001747DB"/>
    <w:rsid w:val="00174F3B"/>
    <w:rsid w:val="00175B12"/>
    <w:rsid w:val="00175E72"/>
    <w:rsid w:val="00175F8E"/>
    <w:rsid w:val="00176167"/>
    <w:rsid w:val="00176A70"/>
    <w:rsid w:val="0017701E"/>
    <w:rsid w:val="00177020"/>
    <w:rsid w:val="0018072F"/>
    <w:rsid w:val="00180A53"/>
    <w:rsid w:val="00181BB0"/>
    <w:rsid w:val="00182BBD"/>
    <w:rsid w:val="00182C96"/>
    <w:rsid w:val="001837BD"/>
    <w:rsid w:val="00184E2E"/>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5E1"/>
    <w:rsid w:val="001A0E7C"/>
    <w:rsid w:val="001A2781"/>
    <w:rsid w:val="001A2987"/>
    <w:rsid w:val="001A320A"/>
    <w:rsid w:val="001A33ED"/>
    <w:rsid w:val="001A432C"/>
    <w:rsid w:val="001A4C1C"/>
    <w:rsid w:val="001A4DBB"/>
    <w:rsid w:val="001A576D"/>
    <w:rsid w:val="001A57C5"/>
    <w:rsid w:val="001A6053"/>
    <w:rsid w:val="001A7761"/>
    <w:rsid w:val="001B459A"/>
    <w:rsid w:val="001B4C8F"/>
    <w:rsid w:val="001B5232"/>
    <w:rsid w:val="001B6572"/>
    <w:rsid w:val="001B6FFC"/>
    <w:rsid w:val="001B72C7"/>
    <w:rsid w:val="001C1C00"/>
    <w:rsid w:val="001C1C5D"/>
    <w:rsid w:val="001C2409"/>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27E96"/>
    <w:rsid w:val="002303E5"/>
    <w:rsid w:val="0023133D"/>
    <w:rsid w:val="002326EC"/>
    <w:rsid w:val="00232BF5"/>
    <w:rsid w:val="002338A0"/>
    <w:rsid w:val="00233FF2"/>
    <w:rsid w:val="002341EB"/>
    <w:rsid w:val="002346E7"/>
    <w:rsid w:val="00235900"/>
    <w:rsid w:val="00235A26"/>
    <w:rsid w:val="00235ADF"/>
    <w:rsid w:val="00235FC3"/>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2FB7"/>
    <w:rsid w:val="0025338B"/>
    <w:rsid w:val="0025395A"/>
    <w:rsid w:val="00254313"/>
    <w:rsid w:val="00254CF2"/>
    <w:rsid w:val="0025520A"/>
    <w:rsid w:val="002556AB"/>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40C"/>
    <w:rsid w:val="0026796B"/>
    <w:rsid w:val="00267A90"/>
    <w:rsid w:val="002708AE"/>
    <w:rsid w:val="00271357"/>
    <w:rsid w:val="00272160"/>
    <w:rsid w:val="00272D78"/>
    <w:rsid w:val="0027318B"/>
    <w:rsid w:val="00273E66"/>
    <w:rsid w:val="00273FEB"/>
    <w:rsid w:val="002754FA"/>
    <w:rsid w:val="00276114"/>
    <w:rsid w:val="0027637A"/>
    <w:rsid w:val="002763A4"/>
    <w:rsid w:val="002765AF"/>
    <w:rsid w:val="00276AF9"/>
    <w:rsid w:val="00277212"/>
    <w:rsid w:val="002773DB"/>
    <w:rsid w:val="00277791"/>
    <w:rsid w:val="002777DF"/>
    <w:rsid w:val="002803FA"/>
    <w:rsid w:val="002807CC"/>
    <w:rsid w:val="00280C69"/>
    <w:rsid w:val="00280EC5"/>
    <w:rsid w:val="00281A75"/>
    <w:rsid w:val="00281F6C"/>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574"/>
    <w:rsid w:val="00294324"/>
    <w:rsid w:val="002946D4"/>
    <w:rsid w:val="002947C0"/>
    <w:rsid w:val="002965CE"/>
    <w:rsid w:val="002967E1"/>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1FB8"/>
    <w:rsid w:val="002B306F"/>
    <w:rsid w:val="002B3172"/>
    <w:rsid w:val="002B35B8"/>
    <w:rsid w:val="002B4271"/>
    <w:rsid w:val="002B6A94"/>
    <w:rsid w:val="002B751E"/>
    <w:rsid w:val="002B7A9E"/>
    <w:rsid w:val="002B7F07"/>
    <w:rsid w:val="002B7FDB"/>
    <w:rsid w:val="002C0153"/>
    <w:rsid w:val="002C0682"/>
    <w:rsid w:val="002C1498"/>
    <w:rsid w:val="002C1864"/>
    <w:rsid w:val="002C20ED"/>
    <w:rsid w:val="002C3160"/>
    <w:rsid w:val="002C3579"/>
    <w:rsid w:val="002C4044"/>
    <w:rsid w:val="002C4070"/>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9"/>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51"/>
    <w:rsid w:val="00313FC5"/>
    <w:rsid w:val="00314E3B"/>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3FF"/>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4F7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5A8C"/>
    <w:rsid w:val="003B5C47"/>
    <w:rsid w:val="003B6158"/>
    <w:rsid w:val="003B7DE9"/>
    <w:rsid w:val="003C1EA0"/>
    <w:rsid w:val="003C2846"/>
    <w:rsid w:val="003C2DBA"/>
    <w:rsid w:val="003C2F46"/>
    <w:rsid w:val="003C3B92"/>
    <w:rsid w:val="003C3EB1"/>
    <w:rsid w:val="003C47E1"/>
    <w:rsid w:val="003C4CD4"/>
    <w:rsid w:val="003C66DD"/>
    <w:rsid w:val="003C67C9"/>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0D2B"/>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20227"/>
    <w:rsid w:val="00420545"/>
    <w:rsid w:val="00420E1B"/>
    <w:rsid w:val="00420EE4"/>
    <w:rsid w:val="00421305"/>
    <w:rsid w:val="0042209A"/>
    <w:rsid w:val="0042222E"/>
    <w:rsid w:val="00422416"/>
    <w:rsid w:val="004226CD"/>
    <w:rsid w:val="00422766"/>
    <w:rsid w:val="004236F4"/>
    <w:rsid w:val="00423C96"/>
    <w:rsid w:val="00425453"/>
    <w:rsid w:val="00425E08"/>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3A55"/>
    <w:rsid w:val="00444336"/>
    <w:rsid w:val="00444A6A"/>
    <w:rsid w:val="0044563B"/>
    <w:rsid w:val="00445F97"/>
    <w:rsid w:val="00446742"/>
    <w:rsid w:val="00446920"/>
    <w:rsid w:val="00446A96"/>
    <w:rsid w:val="00446C00"/>
    <w:rsid w:val="004474C1"/>
    <w:rsid w:val="00447E12"/>
    <w:rsid w:val="004507D8"/>
    <w:rsid w:val="00451431"/>
    <w:rsid w:val="004516EC"/>
    <w:rsid w:val="00452634"/>
    <w:rsid w:val="00452B20"/>
    <w:rsid w:val="00453D7B"/>
    <w:rsid w:val="004548ED"/>
    <w:rsid w:val="00454A31"/>
    <w:rsid w:val="00455FAE"/>
    <w:rsid w:val="00456003"/>
    <w:rsid w:val="00456A47"/>
    <w:rsid w:val="0045790D"/>
    <w:rsid w:val="00457BC4"/>
    <w:rsid w:val="00460001"/>
    <w:rsid w:val="0046058E"/>
    <w:rsid w:val="00460F4A"/>
    <w:rsid w:val="00460F61"/>
    <w:rsid w:val="0046197A"/>
    <w:rsid w:val="00461A9E"/>
    <w:rsid w:val="00461B44"/>
    <w:rsid w:val="00462FA2"/>
    <w:rsid w:val="00465D41"/>
    <w:rsid w:val="00467039"/>
    <w:rsid w:val="0046758D"/>
    <w:rsid w:val="0046774D"/>
    <w:rsid w:val="0047006B"/>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109"/>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0EC"/>
    <w:rsid w:val="004B384B"/>
    <w:rsid w:val="004B393A"/>
    <w:rsid w:val="004B3ECE"/>
    <w:rsid w:val="004B3F99"/>
    <w:rsid w:val="004B4E86"/>
    <w:rsid w:val="004B4FE3"/>
    <w:rsid w:val="004B504B"/>
    <w:rsid w:val="004B50BB"/>
    <w:rsid w:val="004B5614"/>
    <w:rsid w:val="004B5877"/>
    <w:rsid w:val="004B5B65"/>
    <w:rsid w:val="004C00B9"/>
    <w:rsid w:val="004C03AC"/>
    <w:rsid w:val="004C0A3F"/>
    <w:rsid w:val="004C1DF7"/>
    <w:rsid w:val="004C32BE"/>
    <w:rsid w:val="004C3F91"/>
    <w:rsid w:val="004C4493"/>
    <w:rsid w:val="004C45E2"/>
    <w:rsid w:val="004C4D0C"/>
    <w:rsid w:val="004C53B2"/>
    <w:rsid w:val="004C64EE"/>
    <w:rsid w:val="004C6FCE"/>
    <w:rsid w:val="004C79B3"/>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E95"/>
    <w:rsid w:val="004E1EEE"/>
    <w:rsid w:val="004E407D"/>
    <w:rsid w:val="004E4FB7"/>
    <w:rsid w:val="004E563C"/>
    <w:rsid w:val="004E565B"/>
    <w:rsid w:val="004E6028"/>
    <w:rsid w:val="004E69C5"/>
    <w:rsid w:val="004E6C9B"/>
    <w:rsid w:val="004E6FA5"/>
    <w:rsid w:val="004F0A1D"/>
    <w:rsid w:val="004F1A5E"/>
    <w:rsid w:val="004F2E2A"/>
    <w:rsid w:val="004F34FF"/>
    <w:rsid w:val="004F37F3"/>
    <w:rsid w:val="004F3F44"/>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1906"/>
    <w:rsid w:val="00512353"/>
    <w:rsid w:val="00512508"/>
    <w:rsid w:val="00513C29"/>
    <w:rsid w:val="00513FB7"/>
    <w:rsid w:val="00514A01"/>
    <w:rsid w:val="00515A3D"/>
    <w:rsid w:val="00515A5C"/>
    <w:rsid w:val="005166CA"/>
    <w:rsid w:val="00516920"/>
    <w:rsid w:val="00516B08"/>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6C81"/>
    <w:rsid w:val="00537391"/>
    <w:rsid w:val="00537C2E"/>
    <w:rsid w:val="00540230"/>
    <w:rsid w:val="00540519"/>
    <w:rsid w:val="0054060A"/>
    <w:rsid w:val="00540769"/>
    <w:rsid w:val="0054123C"/>
    <w:rsid w:val="00542E88"/>
    <w:rsid w:val="00544D46"/>
    <w:rsid w:val="00545584"/>
    <w:rsid w:val="005455FC"/>
    <w:rsid w:val="005462B1"/>
    <w:rsid w:val="0054721E"/>
    <w:rsid w:val="005475EA"/>
    <w:rsid w:val="00547DC8"/>
    <w:rsid w:val="00550B95"/>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1FD"/>
    <w:rsid w:val="00574695"/>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7FD"/>
    <w:rsid w:val="005843B5"/>
    <w:rsid w:val="00584C74"/>
    <w:rsid w:val="00585601"/>
    <w:rsid w:val="0058589F"/>
    <w:rsid w:val="005858A3"/>
    <w:rsid w:val="0058593A"/>
    <w:rsid w:val="00585FFF"/>
    <w:rsid w:val="0058649E"/>
    <w:rsid w:val="0058662F"/>
    <w:rsid w:val="0058694F"/>
    <w:rsid w:val="00586ED1"/>
    <w:rsid w:val="00586F93"/>
    <w:rsid w:val="005878D0"/>
    <w:rsid w:val="0059101B"/>
    <w:rsid w:val="00592474"/>
    <w:rsid w:val="0059286F"/>
    <w:rsid w:val="00592BC7"/>
    <w:rsid w:val="00592F54"/>
    <w:rsid w:val="005934B7"/>
    <w:rsid w:val="00593EBB"/>
    <w:rsid w:val="00596960"/>
    <w:rsid w:val="005970A9"/>
    <w:rsid w:val="00597579"/>
    <w:rsid w:val="005975D8"/>
    <w:rsid w:val="00597BF2"/>
    <w:rsid w:val="005A015C"/>
    <w:rsid w:val="005A04AA"/>
    <w:rsid w:val="005A09BB"/>
    <w:rsid w:val="005A0E43"/>
    <w:rsid w:val="005A32D3"/>
    <w:rsid w:val="005A33BD"/>
    <w:rsid w:val="005A3D7E"/>
    <w:rsid w:val="005A4A78"/>
    <w:rsid w:val="005A4AB0"/>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425D"/>
    <w:rsid w:val="005B496D"/>
    <w:rsid w:val="005B52C4"/>
    <w:rsid w:val="005C026B"/>
    <w:rsid w:val="005C194C"/>
    <w:rsid w:val="005C2667"/>
    <w:rsid w:val="005C295A"/>
    <w:rsid w:val="005C2C21"/>
    <w:rsid w:val="005C3B4F"/>
    <w:rsid w:val="005C44D1"/>
    <w:rsid w:val="005C52A6"/>
    <w:rsid w:val="005C6812"/>
    <w:rsid w:val="005C6D2C"/>
    <w:rsid w:val="005C7E7D"/>
    <w:rsid w:val="005D0CD7"/>
    <w:rsid w:val="005D0ED8"/>
    <w:rsid w:val="005D14DC"/>
    <w:rsid w:val="005D154E"/>
    <w:rsid w:val="005D1B57"/>
    <w:rsid w:val="005D21F3"/>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BB0"/>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803"/>
    <w:rsid w:val="006278F4"/>
    <w:rsid w:val="00627B98"/>
    <w:rsid w:val="00630A7C"/>
    <w:rsid w:val="00631305"/>
    <w:rsid w:val="00631F71"/>
    <w:rsid w:val="006328A6"/>
    <w:rsid w:val="0063336C"/>
    <w:rsid w:val="00633471"/>
    <w:rsid w:val="00633B1C"/>
    <w:rsid w:val="00633C00"/>
    <w:rsid w:val="006349A7"/>
    <w:rsid w:val="00634C01"/>
    <w:rsid w:val="00634DD7"/>
    <w:rsid w:val="00634EA3"/>
    <w:rsid w:val="00635717"/>
    <w:rsid w:val="006357AE"/>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4AF"/>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25AE"/>
    <w:rsid w:val="00673184"/>
    <w:rsid w:val="00675422"/>
    <w:rsid w:val="006754FB"/>
    <w:rsid w:val="00675C7A"/>
    <w:rsid w:val="00675EC3"/>
    <w:rsid w:val="00676116"/>
    <w:rsid w:val="006801C0"/>
    <w:rsid w:val="00680B95"/>
    <w:rsid w:val="0068254A"/>
    <w:rsid w:val="00683327"/>
    <w:rsid w:val="00683AAE"/>
    <w:rsid w:val="00683C7C"/>
    <w:rsid w:val="0068444E"/>
    <w:rsid w:val="00684881"/>
    <w:rsid w:val="00685107"/>
    <w:rsid w:val="00685164"/>
    <w:rsid w:val="006852BE"/>
    <w:rsid w:val="00685620"/>
    <w:rsid w:val="00685E5D"/>
    <w:rsid w:val="0068667E"/>
    <w:rsid w:val="00687397"/>
    <w:rsid w:val="00687C15"/>
    <w:rsid w:val="006909A7"/>
    <w:rsid w:val="006913AD"/>
    <w:rsid w:val="006917AF"/>
    <w:rsid w:val="006919C1"/>
    <w:rsid w:val="0069283D"/>
    <w:rsid w:val="00692A50"/>
    <w:rsid w:val="00693B34"/>
    <w:rsid w:val="00694B18"/>
    <w:rsid w:val="00694B30"/>
    <w:rsid w:val="00694B8A"/>
    <w:rsid w:val="00694C2D"/>
    <w:rsid w:val="006956DB"/>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6C20"/>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A5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CC"/>
    <w:rsid w:val="00706FB2"/>
    <w:rsid w:val="00707218"/>
    <w:rsid w:val="007074F5"/>
    <w:rsid w:val="00711A79"/>
    <w:rsid w:val="00711F72"/>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43F5"/>
    <w:rsid w:val="0072615B"/>
    <w:rsid w:val="007267CF"/>
    <w:rsid w:val="00727843"/>
    <w:rsid w:val="0073079A"/>
    <w:rsid w:val="00731FCA"/>
    <w:rsid w:val="007325C8"/>
    <w:rsid w:val="00732B93"/>
    <w:rsid w:val="0073324D"/>
    <w:rsid w:val="0073362E"/>
    <w:rsid w:val="00735381"/>
    <w:rsid w:val="007363FE"/>
    <w:rsid w:val="00736D6F"/>
    <w:rsid w:val="00736F23"/>
    <w:rsid w:val="0074014C"/>
    <w:rsid w:val="00741372"/>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56338"/>
    <w:rsid w:val="00760B2C"/>
    <w:rsid w:val="007622EA"/>
    <w:rsid w:val="007627F6"/>
    <w:rsid w:val="00762AE4"/>
    <w:rsid w:val="00762DDD"/>
    <w:rsid w:val="0076417D"/>
    <w:rsid w:val="00765BBE"/>
    <w:rsid w:val="00766FCB"/>
    <w:rsid w:val="007704F3"/>
    <w:rsid w:val="007710F2"/>
    <w:rsid w:val="007716E9"/>
    <w:rsid w:val="00773060"/>
    <w:rsid w:val="00773513"/>
    <w:rsid w:val="0077365E"/>
    <w:rsid w:val="007741BD"/>
    <w:rsid w:val="0077473F"/>
    <w:rsid w:val="00775C9E"/>
    <w:rsid w:val="00776349"/>
    <w:rsid w:val="007775AA"/>
    <w:rsid w:val="00777708"/>
    <w:rsid w:val="007778B0"/>
    <w:rsid w:val="00777BDA"/>
    <w:rsid w:val="00781D02"/>
    <w:rsid w:val="00782239"/>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DB5"/>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584"/>
    <w:rsid w:val="007B4652"/>
    <w:rsid w:val="007B4FD7"/>
    <w:rsid w:val="007B5F56"/>
    <w:rsid w:val="007B7B09"/>
    <w:rsid w:val="007B7C01"/>
    <w:rsid w:val="007C1B6C"/>
    <w:rsid w:val="007C29E1"/>
    <w:rsid w:val="007C2CEC"/>
    <w:rsid w:val="007C3391"/>
    <w:rsid w:val="007C4D57"/>
    <w:rsid w:val="007C4F4F"/>
    <w:rsid w:val="007C5719"/>
    <w:rsid w:val="007C5812"/>
    <w:rsid w:val="007C6C40"/>
    <w:rsid w:val="007C70BD"/>
    <w:rsid w:val="007C74F4"/>
    <w:rsid w:val="007D1C72"/>
    <w:rsid w:val="007D1E64"/>
    <w:rsid w:val="007D223D"/>
    <w:rsid w:val="007D3BE5"/>
    <w:rsid w:val="007D4995"/>
    <w:rsid w:val="007D5505"/>
    <w:rsid w:val="007D5B5D"/>
    <w:rsid w:val="007D5F38"/>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0490"/>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D9B"/>
    <w:rsid w:val="008140EC"/>
    <w:rsid w:val="00814A2D"/>
    <w:rsid w:val="00815A65"/>
    <w:rsid w:val="00817095"/>
    <w:rsid w:val="008170C0"/>
    <w:rsid w:val="008171AA"/>
    <w:rsid w:val="0082041F"/>
    <w:rsid w:val="00821A95"/>
    <w:rsid w:val="00822077"/>
    <w:rsid w:val="00822A02"/>
    <w:rsid w:val="008231A9"/>
    <w:rsid w:val="0082357B"/>
    <w:rsid w:val="0082395F"/>
    <w:rsid w:val="00823B22"/>
    <w:rsid w:val="008254BC"/>
    <w:rsid w:val="00826FDC"/>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E79"/>
    <w:rsid w:val="008465D2"/>
    <w:rsid w:val="008505AF"/>
    <w:rsid w:val="00850792"/>
    <w:rsid w:val="00850E24"/>
    <w:rsid w:val="00850FE0"/>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2418"/>
    <w:rsid w:val="008A4526"/>
    <w:rsid w:val="008A4B15"/>
    <w:rsid w:val="008A4CB3"/>
    <w:rsid w:val="008A4FDA"/>
    <w:rsid w:val="008A54AF"/>
    <w:rsid w:val="008A5C29"/>
    <w:rsid w:val="008A61A8"/>
    <w:rsid w:val="008A63E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3F1E"/>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F9D"/>
    <w:rsid w:val="008F05DE"/>
    <w:rsid w:val="008F09AE"/>
    <w:rsid w:val="008F0AC3"/>
    <w:rsid w:val="008F1DC5"/>
    <w:rsid w:val="008F1F8E"/>
    <w:rsid w:val="008F2299"/>
    <w:rsid w:val="008F2441"/>
    <w:rsid w:val="008F28C0"/>
    <w:rsid w:val="008F2A4C"/>
    <w:rsid w:val="008F2AFB"/>
    <w:rsid w:val="008F2D37"/>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D99"/>
    <w:rsid w:val="00910119"/>
    <w:rsid w:val="0091015A"/>
    <w:rsid w:val="00911462"/>
    <w:rsid w:val="0091183B"/>
    <w:rsid w:val="00911B53"/>
    <w:rsid w:val="00911B78"/>
    <w:rsid w:val="00912436"/>
    <w:rsid w:val="00914B83"/>
    <w:rsid w:val="009159E4"/>
    <w:rsid w:val="0091649C"/>
    <w:rsid w:val="009166D3"/>
    <w:rsid w:val="00916BA8"/>
    <w:rsid w:val="0092167E"/>
    <w:rsid w:val="00921E32"/>
    <w:rsid w:val="00921E89"/>
    <w:rsid w:val="00922097"/>
    <w:rsid w:val="009220E9"/>
    <w:rsid w:val="00922DD4"/>
    <w:rsid w:val="009238CA"/>
    <w:rsid w:val="00923E67"/>
    <w:rsid w:val="00923E96"/>
    <w:rsid w:val="00924B04"/>
    <w:rsid w:val="009255FA"/>
    <w:rsid w:val="00925647"/>
    <w:rsid w:val="0092652E"/>
    <w:rsid w:val="0092691D"/>
    <w:rsid w:val="00927612"/>
    <w:rsid w:val="00927737"/>
    <w:rsid w:val="00930F9F"/>
    <w:rsid w:val="00931D1D"/>
    <w:rsid w:val="00931D32"/>
    <w:rsid w:val="009323E1"/>
    <w:rsid w:val="009324A8"/>
    <w:rsid w:val="00932532"/>
    <w:rsid w:val="00934A46"/>
    <w:rsid w:val="00935BC3"/>
    <w:rsid w:val="00937266"/>
    <w:rsid w:val="00940AA9"/>
    <w:rsid w:val="00941264"/>
    <w:rsid w:val="0094296E"/>
    <w:rsid w:val="0094298C"/>
    <w:rsid w:val="0094553A"/>
    <w:rsid w:val="00947FC1"/>
    <w:rsid w:val="009517E1"/>
    <w:rsid w:val="00951B46"/>
    <w:rsid w:val="00951DE4"/>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F49"/>
    <w:rsid w:val="009817FD"/>
    <w:rsid w:val="00981EDA"/>
    <w:rsid w:val="00982365"/>
    <w:rsid w:val="009844BA"/>
    <w:rsid w:val="009857F1"/>
    <w:rsid w:val="00985A7D"/>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17F"/>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3CD5"/>
    <w:rsid w:val="009C4B9D"/>
    <w:rsid w:val="009C4E1E"/>
    <w:rsid w:val="009C595B"/>
    <w:rsid w:val="009C6673"/>
    <w:rsid w:val="009C6CB5"/>
    <w:rsid w:val="009C6CFE"/>
    <w:rsid w:val="009C7D3E"/>
    <w:rsid w:val="009D0B0C"/>
    <w:rsid w:val="009D0C37"/>
    <w:rsid w:val="009D2D63"/>
    <w:rsid w:val="009D60F4"/>
    <w:rsid w:val="009D6686"/>
    <w:rsid w:val="009D6D3D"/>
    <w:rsid w:val="009D7037"/>
    <w:rsid w:val="009D71AB"/>
    <w:rsid w:val="009D72AF"/>
    <w:rsid w:val="009D7595"/>
    <w:rsid w:val="009D7679"/>
    <w:rsid w:val="009D7C0C"/>
    <w:rsid w:val="009D7F0B"/>
    <w:rsid w:val="009E20EB"/>
    <w:rsid w:val="009E489A"/>
    <w:rsid w:val="009E5212"/>
    <w:rsid w:val="009E6C19"/>
    <w:rsid w:val="009E6E2F"/>
    <w:rsid w:val="009F0845"/>
    <w:rsid w:val="009F1EDE"/>
    <w:rsid w:val="009F2CEE"/>
    <w:rsid w:val="009F3F1F"/>
    <w:rsid w:val="009F426B"/>
    <w:rsid w:val="009F6192"/>
    <w:rsid w:val="009F672D"/>
    <w:rsid w:val="009F6E2E"/>
    <w:rsid w:val="009F7EA7"/>
    <w:rsid w:val="00A000EF"/>
    <w:rsid w:val="00A00395"/>
    <w:rsid w:val="00A01109"/>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0C7"/>
    <w:rsid w:val="00A20159"/>
    <w:rsid w:val="00A2137A"/>
    <w:rsid w:val="00A21480"/>
    <w:rsid w:val="00A23BE3"/>
    <w:rsid w:val="00A24116"/>
    <w:rsid w:val="00A242BE"/>
    <w:rsid w:val="00A25BB6"/>
    <w:rsid w:val="00A260A0"/>
    <w:rsid w:val="00A278EB"/>
    <w:rsid w:val="00A320D9"/>
    <w:rsid w:val="00A326BC"/>
    <w:rsid w:val="00A32801"/>
    <w:rsid w:val="00A33A01"/>
    <w:rsid w:val="00A33BC1"/>
    <w:rsid w:val="00A33C4B"/>
    <w:rsid w:val="00A33F92"/>
    <w:rsid w:val="00A342EB"/>
    <w:rsid w:val="00A358F0"/>
    <w:rsid w:val="00A35CD1"/>
    <w:rsid w:val="00A36422"/>
    <w:rsid w:val="00A36474"/>
    <w:rsid w:val="00A366AC"/>
    <w:rsid w:val="00A37EFC"/>
    <w:rsid w:val="00A40451"/>
    <w:rsid w:val="00A40764"/>
    <w:rsid w:val="00A40A9D"/>
    <w:rsid w:val="00A412F8"/>
    <w:rsid w:val="00A41637"/>
    <w:rsid w:val="00A41972"/>
    <w:rsid w:val="00A41BCD"/>
    <w:rsid w:val="00A41D75"/>
    <w:rsid w:val="00A43152"/>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C2B"/>
    <w:rsid w:val="00A61E26"/>
    <w:rsid w:val="00A61FC3"/>
    <w:rsid w:val="00A649F6"/>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786"/>
    <w:rsid w:val="00A75835"/>
    <w:rsid w:val="00A75DAC"/>
    <w:rsid w:val="00A76771"/>
    <w:rsid w:val="00A778F3"/>
    <w:rsid w:val="00A77E77"/>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39D"/>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FAB"/>
    <w:rsid w:val="00AA5FEE"/>
    <w:rsid w:val="00AA6624"/>
    <w:rsid w:val="00AA6E94"/>
    <w:rsid w:val="00AA7BC6"/>
    <w:rsid w:val="00AA7D6B"/>
    <w:rsid w:val="00AA7F9D"/>
    <w:rsid w:val="00AB03C3"/>
    <w:rsid w:val="00AB060C"/>
    <w:rsid w:val="00AB07BF"/>
    <w:rsid w:val="00AB1987"/>
    <w:rsid w:val="00AB299D"/>
    <w:rsid w:val="00AB2BF1"/>
    <w:rsid w:val="00AB3600"/>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5BD4"/>
    <w:rsid w:val="00AC6DB3"/>
    <w:rsid w:val="00AC7B9C"/>
    <w:rsid w:val="00AD04FE"/>
    <w:rsid w:val="00AD1327"/>
    <w:rsid w:val="00AD15D0"/>
    <w:rsid w:val="00AD172C"/>
    <w:rsid w:val="00AD1F50"/>
    <w:rsid w:val="00AD3D57"/>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907"/>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6E0E"/>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FC0"/>
    <w:rsid w:val="00B42A6D"/>
    <w:rsid w:val="00B42F63"/>
    <w:rsid w:val="00B43722"/>
    <w:rsid w:val="00B43D43"/>
    <w:rsid w:val="00B461DF"/>
    <w:rsid w:val="00B4644D"/>
    <w:rsid w:val="00B465F0"/>
    <w:rsid w:val="00B46E48"/>
    <w:rsid w:val="00B47162"/>
    <w:rsid w:val="00B47A98"/>
    <w:rsid w:val="00B47CBA"/>
    <w:rsid w:val="00B503BD"/>
    <w:rsid w:val="00B50D1C"/>
    <w:rsid w:val="00B513CC"/>
    <w:rsid w:val="00B51564"/>
    <w:rsid w:val="00B51582"/>
    <w:rsid w:val="00B5186D"/>
    <w:rsid w:val="00B52926"/>
    <w:rsid w:val="00B52F0C"/>
    <w:rsid w:val="00B52F2D"/>
    <w:rsid w:val="00B5372D"/>
    <w:rsid w:val="00B54526"/>
    <w:rsid w:val="00B54B31"/>
    <w:rsid w:val="00B5595D"/>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6DFD"/>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3047"/>
    <w:rsid w:val="00B834A4"/>
    <w:rsid w:val="00B836B0"/>
    <w:rsid w:val="00B84072"/>
    <w:rsid w:val="00B84F18"/>
    <w:rsid w:val="00B853B4"/>
    <w:rsid w:val="00B85C37"/>
    <w:rsid w:val="00B85D7B"/>
    <w:rsid w:val="00B860C8"/>
    <w:rsid w:val="00B86B9B"/>
    <w:rsid w:val="00B8792F"/>
    <w:rsid w:val="00B9125F"/>
    <w:rsid w:val="00B916FF"/>
    <w:rsid w:val="00B92BC4"/>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2E0B"/>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EF9"/>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2B4"/>
    <w:rsid w:val="00C007A6"/>
    <w:rsid w:val="00C00D6D"/>
    <w:rsid w:val="00C00DBA"/>
    <w:rsid w:val="00C01BFA"/>
    <w:rsid w:val="00C01C2E"/>
    <w:rsid w:val="00C024FD"/>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A26"/>
    <w:rsid w:val="00C26CD3"/>
    <w:rsid w:val="00C26ED7"/>
    <w:rsid w:val="00C272E0"/>
    <w:rsid w:val="00C2763A"/>
    <w:rsid w:val="00C27BF9"/>
    <w:rsid w:val="00C27D3E"/>
    <w:rsid w:val="00C27EA6"/>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0BDA"/>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700FE"/>
    <w:rsid w:val="00C72424"/>
    <w:rsid w:val="00C73E8B"/>
    <w:rsid w:val="00C74DA9"/>
    <w:rsid w:val="00C74F5C"/>
    <w:rsid w:val="00C75C02"/>
    <w:rsid w:val="00C76BFE"/>
    <w:rsid w:val="00C77681"/>
    <w:rsid w:val="00C77D90"/>
    <w:rsid w:val="00C808F0"/>
    <w:rsid w:val="00C809E5"/>
    <w:rsid w:val="00C846AC"/>
    <w:rsid w:val="00C8494C"/>
    <w:rsid w:val="00C84F48"/>
    <w:rsid w:val="00C85BB7"/>
    <w:rsid w:val="00C86B76"/>
    <w:rsid w:val="00C86EE2"/>
    <w:rsid w:val="00C87920"/>
    <w:rsid w:val="00C87C25"/>
    <w:rsid w:val="00C87D04"/>
    <w:rsid w:val="00C903CD"/>
    <w:rsid w:val="00C9046D"/>
    <w:rsid w:val="00C904DC"/>
    <w:rsid w:val="00C9304D"/>
    <w:rsid w:val="00C9309A"/>
    <w:rsid w:val="00C93D8B"/>
    <w:rsid w:val="00C943F1"/>
    <w:rsid w:val="00C9453F"/>
    <w:rsid w:val="00C94760"/>
    <w:rsid w:val="00C95B0D"/>
    <w:rsid w:val="00C95EA6"/>
    <w:rsid w:val="00C960FF"/>
    <w:rsid w:val="00C96369"/>
    <w:rsid w:val="00C964FD"/>
    <w:rsid w:val="00C96B3F"/>
    <w:rsid w:val="00C96BB1"/>
    <w:rsid w:val="00C9794F"/>
    <w:rsid w:val="00C97AD1"/>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76FA"/>
    <w:rsid w:val="00CD03D0"/>
    <w:rsid w:val="00CD04D5"/>
    <w:rsid w:val="00CD328D"/>
    <w:rsid w:val="00CD3C27"/>
    <w:rsid w:val="00CD4084"/>
    <w:rsid w:val="00CD51FF"/>
    <w:rsid w:val="00CD59BF"/>
    <w:rsid w:val="00CD6E3C"/>
    <w:rsid w:val="00CD74BA"/>
    <w:rsid w:val="00CE0B55"/>
    <w:rsid w:val="00CE0E3E"/>
    <w:rsid w:val="00CE12A6"/>
    <w:rsid w:val="00CE1968"/>
    <w:rsid w:val="00CE1CC9"/>
    <w:rsid w:val="00CE2909"/>
    <w:rsid w:val="00CE317E"/>
    <w:rsid w:val="00CE3CBA"/>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2BF3"/>
    <w:rsid w:val="00D033D0"/>
    <w:rsid w:val="00D0352D"/>
    <w:rsid w:val="00D04030"/>
    <w:rsid w:val="00D048E0"/>
    <w:rsid w:val="00D04CA2"/>
    <w:rsid w:val="00D0573D"/>
    <w:rsid w:val="00D0592B"/>
    <w:rsid w:val="00D05E79"/>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3B30"/>
    <w:rsid w:val="00D44336"/>
    <w:rsid w:val="00D4448D"/>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4ED6"/>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26EB"/>
    <w:rsid w:val="00D94985"/>
    <w:rsid w:val="00D956AE"/>
    <w:rsid w:val="00D95A0D"/>
    <w:rsid w:val="00D95E62"/>
    <w:rsid w:val="00D97119"/>
    <w:rsid w:val="00D974E4"/>
    <w:rsid w:val="00D97A46"/>
    <w:rsid w:val="00D97B49"/>
    <w:rsid w:val="00DA05D5"/>
    <w:rsid w:val="00DA0924"/>
    <w:rsid w:val="00DA29A1"/>
    <w:rsid w:val="00DA2BE1"/>
    <w:rsid w:val="00DA41C0"/>
    <w:rsid w:val="00DA420D"/>
    <w:rsid w:val="00DA52B5"/>
    <w:rsid w:val="00DA5F0A"/>
    <w:rsid w:val="00DA640C"/>
    <w:rsid w:val="00DA6BAC"/>
    <w:rsid w:val="00DB0090"/>
    <w:rsid w:val="00DB0F75"/>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3DB"/>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2C6"/>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D25"/>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05F3"/>
    <w:rsid w:val="00E4269F"/>
    <w:rsid w:val="00E43125"/>
    <w:rsid w:val="00E434A7"/>
    <w:rsid w:val="00E43709"/>
    <w:rsid w:val="00E4431D"/>
    <w:rsid w:val="00E446A5"/>
    <w:rsid w:val="00E449A7"/>
    <w:rsid w:val="00E45BE3"/>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A95"/>
    <w:rsid w:val="00E6537C"/>
    <w:rsid w:val="00E6556D"/>
    <w:rsid w:val="00E6597E"/>
    <w:rsid w:val="00E6610F"/>
    <w:rsid w:val="00E66185"/>
    <w:rsid w:val="00E662CD"/>
    <w:rsid w:val="00E66BBE"/>
    <w:rsid w:val="00E66D52"/>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3A86"/>
    <w:rsid w:val="00E850F3"/>
    <w:rsid w:val="00E8686D"/>
    <w:rsid w:val="00E86A27"/>
    <w:rsid w:val="00E87749"/>
    <w:rsid w:val="00E87B42"/>
    <w:rsid w:val="00E87C7C"/>
    <w:rsid w:val="00E91944"/>
    <w:rsid w:val="00E91C81"/>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2DD5"/>
    <w:rsid w:val="00EA3622"/>
    <w:rsid w:val="00EA36F5"/>
    <w:rsid w:val="00EA3852"/>
    <w:rsid w:val="00EA3B26"/>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6842"/>
    <w:rsid w:val="00EC6926"/>
    <w:rsid w:val="00EC70C6"/>
    <w:rsid w:val="00EC714B"/>
    <w:rsid w:val="00EC7F26"/>
    <w:rsid w:val="00ED02F9"/>
    <w:rsid w:val="00ED0444"/>
    <w:rsid w:val="00ED04EC"/>
    <w:rsid w:val="00ED052F"/>
    <w:rsid w:val="00ED0E29"/>
    <w:rsid w:val="00ED28C4"/>
    <w:rsid w:val="00ED296C"/>
    <w:rsid w:val="00ED334E"/>
    <w:rsid w:val="00ED3A2A"/>
    <w:rsid w:val="00ED6038"/>
    <w:rsid w:val="00ED653F"/>
    <w:rsid w:val="00ED6550"/>
    <w:rsid w:val="00ED748E"/>
    <w:rsid w:val="00ED7D4A"/>
    <w:rsid w:val="00EE02E3"/>
    <w:rsid w:val="00EE07BA"/>
    <w:rsid w:val="00EE0C82"/>
    <w:rsid w:val="00EE0D34"/>
    <w:rsid w:val="00EE1515"/>
    <w:rsid w:val="00EE27CF"/>
    <w:rsid w:val="00EE2BF1"/>
    <w:rsid w:val="00EE34FA"/>
    <w:rsid w:val="00EE50CE"/>
    <w:rsid w:val="00EE5CD7"/>
    <w:rsid w:val="00EE6B14"/>
    <w:rsid w:val="00EE6B9E"/>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7D9"/>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13F"/>
    <w:rsid w:val="00F43BA8"/>
    <w:rsid w:val="00F4512B"/>
    <w:rsid w:val="00F461CE"/>
    <w:rsid w:val="00F46256"/>
    <w:rsid w:val="00F46AB1"/>
    <w:rsid w:val="00F472D1"/>
    <w:rsid w:val="00F47502"/>
    <w:rsid w:val="00F50221"/>
    <w:rsid w:val="00F50C28"/>
    <w:rsid w:val="00F50D98"/>
    <w:rsid w:val="00F51A68"/>
    <w:rsid w:val="00F51ACB"/>
    <w:rsid w:val="00F52439"/>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458A"/>
    <w:rsid w:val="00F859EC"/>
    <w:rsid w:val="00F85AEE"/>
    <w:rsid w:val="00F863D0"/>
    <w:rsid w:val="00F864AB"/>
    <w:rsid w:val="00F86554"/>
    <w:rsid w:val="00F87688"/>
    <w:rsid w:val="00F877F0"/>
    <w:rsid w:val="00F87ECD"/>
    <w:rsid w:val="00F9028E"/>
    <w:rsid w:val="00F9171E"/>
    <w:rsid w:val="00F91899"/>
    <w:rsid w:val="00F92268"/>
    <w:rsid w:val="00F933A0"/>
    <w:rsid w:val="00F9340A"/>
    <w:rsid w:val="00F9341B"/>
    <w:rsid w:val="00F93676"/>
    <w:rsid w:val="00F93AC8"/>
    <w:rsid w:val="00F93C79"/>
    <w:rsid w:val="00F9431A"/>
    <w:rsid w:val="00F95419"/>
    <w:rsid w:val="00F9603E"/>
    <w:rsid w:val="00F963B6"/>
    <w:rsid w:val="00F96972"/>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1AC"/>
    <w:rsid w:val="00FB2B42"/>
    <w:rsid w:val="00FB3DAE"/>
    <w:rsid w:val="00FB45CA"/>
    <w:rsid w:val="00FB4C7B"/>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F8"/>
    <w:rsid w:val="00FD0BBA"/>
    <w:rsid w:val="00FD0C22"/>
    <w:rsid w:val="00FD0C3B"/>
    <w:rsid w:val="00FD0EAA"/>
    <w:rsid w:val="00FD1068"/>
    <w:rsid w:val="00FD16D0"/>
    <w:rsid w:val="00FD1973"/>
    <w:rsid w:val="00FD1AFB"/>
    <w:rsid w:val="00FD26D2"/>
    <w:rsid w:val="00FD2879"/>
    <w:rsid w:val="00FD34F0"/>
    <w:rsid w:val="00FD39EA"/>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D3E"/>
    <w:rsid w:val="00FE4F0E"/>
    <w:rsid w:val="00FE6BAD"/>
    <w:rsid w:val="00FE78A7"/>
    <w:rsid w:val="00FE7C80"/>
    <w:rsid w:val="00FF2F94"/>
    <w:rsid w:val="00FF35C5"/>
    <w:rsid w:val="00FF37B2"/>
    <w:rsid w:val="00FF530E"/>
    <w:rsid w:val="00FF5C3C"/>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C27EA6"/>
    <w:pPr>
      <w:outlineLvl w:val="3"/>
    </w:pPr>
    <w:rPr>
      <w:b w:val="0"/>
      <w:bCs w:val="0"/>
      <w:sz w:val="28"/>
    </w:rPr>
  </w:style>
  <w:style w:type="paragraph" w:styleId="Heading5">
    <w:name w:val="heading 5"/>
    <w:basedOn w:val="Normal"/>
    <w:next w:val="Normal"/>
    <w:link w:val="Heading5Char"/>
    <w:unhideWhenUsed/>
    <w:qFormat/>
    <w:rsid w:val="006357AE"/>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FA3092"/>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0"/>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C27EA6"/>
    <w:rPr>
      <w:rFonts w:ascii="CVS Health Sans" w:eastAsiaTheme="majorEastAsia" w:hAnsi="CVS Health Sans" w:cs="Arial"/>
      <w:sz w:val="28"/>
      <w:szCs w:val="22"/>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6357AE"/>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265FEB"/>
    <w:pPr>
      <w:keepNext/>
      <w:keepLines/>
      <w:spacing w:after="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265FEB"/>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FA309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RefTableHeader">
    <w:name w:val="Ref Table Header"/>
    <w:basedOn w:val="Header"/>
    <w:link w:val="RefTableHeaderChar"/>
    <w:qFormat/>
    <w:rsid w:val="004E6028"/>
    <w:rPr>
      <w:rFonts w:cs="Arial"/>
      <w:sz w:val="16"/>
      <w:szCs w:val="16"/>
    </w:rPr>
  </w:style>
  <w:style w:type="paragraph" w:customStyle="1" w:styleId="RefTableData">
    <w:name w:val="Ref Table Data"/>
    <w:basedOn w:val="Header"/>
    <w:link w:val="RefTableDataChar"/>
    <w:qFormat/>
    <w:rsid w:val="004E6028"/>
    <w:rPr>
      <w:rFonts w:cs="Arial"/>
      <w:sz w:val="16"/>
      <w:szCs w:val="16"/>
    </w:rPr>
  </w:style>
  <w:style w:type="character" w:customStyle="1" w:styleId="RefTableHeaderChar">
    <w:name w:val="Ref Table Header Char"/>
    <w:basedOn w:val="HeaderChar"/>
    <w:link w:val="RefTableHeader"/>
    <w:rsid w:val="004E6028"/>
    <w:rPr>
      <w:rFonts w:ascii="CVS Health Sans" w:hAnsi="CVS Health Sans" w:cs="Arial"/>
      <w:sz w:val="16"/>
      <w:szCs w:val="16"/>
    </w:rPr>
  </w:style>
  <w:style w:type="paragraph" w:customStyle="1" w:styleId="Marginfooter">
    <w:name w:val="Margin footer"/>
    <w:basedOn w:val="Normal"/>
    <w:link w:val="MarginfooterChar"/>
    <w:qFormat/>
    <w:rsid w:val="004E6028"/>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4E6028"/>
    <w:rPr>
      <w:rFonts w:ascii="CVS Health Sans" w:hAnsi="CVS Health Sans" w:cs="Arial"/>
      <w:sz w:val="16"/>
      <w:szCs w:val="16"/>
    </w:rPr>
  </w:style>
  <w:style w:type="character" w:customStyle="1" w:styleId="MarginfooterChar">
    <w:name w:val="Margin footer Char"/>
    <w:basedOn w:val="DefaultParagraphFont"/>
    <w:link w:val="Marginfooter"/>
    <w:rsid w:val="004E6028"/>
    <w:rPr>
      <w:rFonts w:ascii="CVS Health Sans" w:hAnsi="CVS Health Sans" w:cs="Arial"/>
      <w:snapToGrid w:val="0"/>
      <w:sz w:val="16"/>
      <w:szCs w:val="16"/>
    </w:rPr>
  </w:style>
  <w:style w:type="paragraph" w:customStyle="1" w:styleId="TableDataUnpadded">
    <w:name w:val="Table Data Unpadded"/>
    <w:basedOn w:val="BodyText"/>
    <w:link w:val="TableDataUnpaddedChar"/>
    <w:qFormat/>
    <w:rsid w:val="00951DE4"/>
    <w:rPr>
      <w:rFonts w:eastAsia="Arial"/>
    </w:rPr>
  </w:style>
  <w:style w:type="character" w:customStyle="1" w:styleId="TableDataUnpaddedChar">
    <w:name w:val="Table Data Unpadded Char"/>
    <w:basedOn w:val="DefaultParagraphFont"/>
    <w:link w:val="TableDataUnpadded"/>
    <w:rsid w:val="00951DE4"/>
    <w:rPr>
      <w:rFonts w:ascii="CVS Health Sans" w:eastAsia="Arial" w:hAnsi="CVS Health Sans"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67335319">
      <w:bodyDiv w:val="1"/>
      <w:marLeft w:val="0"/>
      <w:marRight w:val="0"/>
      <w:marTop w:val="0"/>
      <w:marBottom w:val="0"/>
      <w:divBdr>
        <w:top w:val="none" w:sz="0" w:space="0" w:color="auto"/>
        <w:left w:val="none" w:sz="0" w:space="0" w:color="auto"/>
        <w:bottom w:val="none" w:sz="0" w:space="0" w:color="auto"/>
        <w:right w:val="none" w:sz="0" w:space="0" w:color="auto"/>
      </w:divBdr>
      <w:divsChild>
        <w:div w:id="252248835">
          <w:marLeft w:val="0"/>
          <w:marRight w:val="0"/>
          <w:marTop w:val="0"/>
          <w:marBottom w:val="0"/>
          <w:divBdr>
            <w:top w:val="none" w:sz="0" w:space="0" w:color="auto"/>
            <w:left w:val="none" w:sz="0" w:space="0" w:color="auto"/>
            <w:bottom w:val="none" w:sz="0" w:space="0" w:color="auto"/>
            <w:right w:val="none" w:sz="0" w:space="0" w:color="auto"/>
          </w:divBdr>
        </w:div>
        <w:div w:id="460462852">
          <w:marLeft w:val="0"/>
          <w:marRight w:val="0"/>
          <w:marTop w:val="0"/>
          <w:marBottom w:val="0"/>
          <w:divBdr>
            <w:top w:val="none" w:sz="0" w:space="0" w:color="auto"/>
            <w:left w:val="none" w:sz="0" w:space="0" w:color="auto"/>
            <w:bottom w:val="none" w:sz="0" w:space="0" w:color="auto"/>
            <w:right w:val="none" w:sz="0" w:space="0" w:color="auto"/>
          </w:divBdr>
        </w:div>
      </w:divsChild>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17083101">
      <w:bodyDiv w:val="1"/>
      <w:marLeft w:val="0"/>
      <w:marRight w:val="0"/>
      <w:marTop w:val="0"/>
      <w:marBottom w:val="0"/>
      <w:divBdr>
        <w:top w:val="none" w:sz="0" w:space="0" w:color="auto"/>
        <w:left w:val="none" w:sz="0" w:space="0" w:color="auto"/>
        <w:bottom w:val="none" w:sz="0" w:space="0" w:color="auto"/>
        <w:right w:val="none" w:sz="0" w:space="0" w:color="auto"/>
      </w:divBdr>
    </w:div>
    <w:div w:id="541985963">
      <w:bodyDiv w:val="1"/>
      <w:marLeft w:val="0"/>
      <w:marRight w:val="0"/>
      <w:marTop w:val="0"/>
      <w:marBottom w:val="0"/>
      <w:divBdr>
        <w:top w:val="none" w:sz="0" w:space="0" w:color="auto"/>
        <w:left w:val="none" w:sz="0" w:space="0" w:color="auto"/>
        <w:bottom w:val="none" w:sz="0" w:space="0" w:color="auto"/>
        <w:right w:val="none" w:sz="0" w:space="0" w:color="auto"/>
      </w:divBdr>
      <w:divsChild>
        <w:div w:id="355736904">
          <w:marLeft w:val="0"/>
          <w:marRight w:val="0"/>
          <w:marTop w:val="0"/>
          <w:marBottom w:val="0"/>
          <w:divBdr>
            <w:top w:val="none" w:sz="0" w:space="0" w:color="auto"/>
            <w:left w:val="none" w:sz="0" w:space="0" w:color="auto"/>
            <w:bottom w:val="none" w:sz="0" w:space="0" w:color="auto"/>
            <w:right w:val="none" w:sz="0" w:space="0" w:color="auto"/>
          </w:divBdr>
        </w:div>
        <w:div w:id="1915624764">
          <w:marLeft w:val="0"/>
          <w:marRight w:val="0"/>
          <w:marTop w:val="0"/>
          <w:marBottom w:val="0"/>
          <w:divBdr>
            <w:top w:val="none" w:sz="0" w:space="0" w:color="auto"/>
            <w:left w:val="none" w:sz="0" w:space="0" w:color="auto"/>
            <w:bottom w:val="none" w:sz="0" w:space="0" w:color="auto"/>
            <w:right w:val="none" w:sz="0" w:space="0" w:color="auto"/>
          </w:divBdr>
        </w:div>
      </w:divsChild>
    </w:div>
    <w:div w:id="585722850">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797183352">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49414953">
      <w:bodyDiv w:val="1"/>
      <w:marLeft w:val="0"/>
      <w:marRight w:val="0"/>
      <w:marTop w:val="0"/>
      <w:marBottom w:val="0"/>
      <w:divBdr>
        <w:top w:val="none" w:sz="0" w:space="0" w:color="auto"/>
        <w:left w:val="none" w:sz="0" w:space="0" w:color="auto"/>
        <w:bottom w:val="none" w:sz="0" w:space="0" w:color="auto"/>
        <w:right w:val="none" w:sz="0" w:space="0" w:color="auto"/>
      </w:divBdr>
      <w:divsChild>
        <w:div w:id="422846828">
          <w:marLeft w:val="0"/>
          <w:marRight w:val="0"/>
          <w:marTop w:val="0"/>
          <w:marBottom w:val="0"/>
          <w:divBdr>
            <w:top w:val="none" w:sz="0" w:space="0" w:color="auto"/>
            <w:left w:val="none" w:sz="0" w:space="0" w:color="auto"/>
            <w:bottom w:val="none" w:sz="0" w:space="0" w:color="auto"/>
            <w:right w:val="none" w:sz="0" w:space="0" w:color="auto"/>
          </w:divBdr>
        </w:div>
        <w:div w:id="1121261999">
          <w:marLeft w:val="0"/>
          <w:marRight w:val="0"/>
          <w:marTop w:val="0"/>
          <w:marBottom w:val="0"/>
          <w:divBdr>
            <w:top w:val="none" w:sz="0" w:space="0" w:color="auto"/>
            <w:left w:val="none" w:sz="0" w:space="0" w:color="auto"/>
            <w:bottom w:val="none" w:sz="0" w:space="0" w:color="auto"/>
            <w:right w:val="none" w:sz="0" w:space="0" w:color="auto"/>
          </w:divBdr>
        </w:div>
        <w:div w:id="1682782462">
          <w:marLeft w:val="0"/>
          <w:marRight w:val="0"/>
          <w:marTop w:val="0"/>
          <w:marBottom w:val="0"/>
          <w:divBdr>
            <w:top w:val="none" w:sz="0" w:space="0" w:color="auto"/>
            <w:left w:val="none" w:sz="0" w:space="0" w:color="auto"/>
            <w:bottom w:val="none" w:sz="0" w:space="0" w:color="auto"/>
            <w:right w:val="none" w:sz="0" w:space="0" w:color="auto"/>
          </w:divBdr>
        </w:div>
        <w:div w:id="410273989">
          <w:marLeft w:val="0"/>
          <w:marRight w:val="0"/>
          <w:marTop w:val="0"/>
          <w:marBottom w:val="0"/>
          <w:divBdr>
            <w:top w:val="none" w:sz="0" w:space="0" w:color="auto"/>
            <w:left w:val="none" w:sz="0" w:space="0" w:color="auto"/>
            <w:bottom w:val="none" w:sz="0" w:space="0" w:color="auto"/>
            <w:right w:val="none" w:sz="0" w:space="0" w:color="auto"/>
          </w:divBdr>
        </w:div>
        <w:div w:id="1221595580">
          <w:marLeft w:val="0"/>
          <w:marRight w:val="0"/>
          <w:marTop w:val="0"/>
          <w:marBottom w:val="0"/>
          <w:divBdr>
            <w:top w:val="none" w:sz="0" w:space="0" w:color="auto"/>
            <w:left w:val="none" w:sz="0" w:space="0" w:color="auto"/>
            <w:bottom w:val="none" w:sz="0" w:space="0" w:color="auto"/>
            <w:right w:val="none" w:sz="0" w:space="0" w:color="auto"/>
          </w:divBdr>
        </w:div>
        <w:div w:id="1538811150">
          <w:marLeft w:val="0"/>
          <w:marRight w:val="0"/>
          <w:marTop w:val="0"/>
          <w:marBottom w:val="0"/>
          <w:divBdr>
            <w:top w:val="none" w:sz="0" w:space="0" w:color="auto"/>
            <w:left w:val="none" w:sz="0" w:space="0" w:color="auto"/>
            <w:bottom w:val="none" w:sz="0" w:space="0" w:color="auto"/>
            <w:right w:val="none" w:sz="0" w:space="0" w:color="auto"/>
          </w:divBdr>
        </w:div>
        <w:div w:id="2070953706">
          <w:marLeft w:val="0"/>
          <w:marRight w:val="0"/>
          <w:marTop w:val="0"/>
          <w:marBottom w:val="0"/>
          <w:divBdr>
            <w:top w:val="none" w:sz="0" w:space="0" w:color="auto"/>
            <w:left w:val="none" w:sz="0" w:space="0" w:color="auto"/>
            <w:bottom w:val="none" w:sz="0" w:space="0" w:color="auto"/>
            <w:right w:val="none" w:sz="0" w:space="0" w:color="auto"/>
          </w:divBdr>
        </w:div>
        <w:div w:id="563376447">
          <w:marLeft w:val="0"/>
          <w:marRight w:val="0"/>
          <w:marTop w:val="0"/>
          <w:marBottom w:val="0"/>
          <w:divBdr>
            <w:top w:val="none" w:sz="0" w:space="0" w:color="auto"/>
            <w:left w:val="none" w:sz="0" w:space="0" w:color="auto"/>
            <w:bottom w:val="none" w:sz="0" w:space="0" w:color="auto"/>
            <w:right w:val="none" w:sz="0" w:space="0" w:color="auto"/>
          </w:divBdr>
        </w:div>
        <w:div w:id="954097759">
          <w:marLeft w:val="0"/>
          <w:marRight w:val="0"/>
          <w:marTop w:val="0"/>
          <w:marBottom w:val="0"/>
          <w:divBdr>
            <w:top w:val="none" w:sz="0" w:space="0" w:color="auto"/>
            <w:left w:val="none" w:sz="0" w:space="0" w:color="auto"/>
            <w:bottom w:val="none" w:sz="0" w:space="0" w:color="auto"/>
            <w:right w:val="none" w:sz="0" w:space="0" w:color="auto"/>
          </w:divBdr>
        </w:div>
        <w:div w:id="1332953703">
          <w:marLeft w:val="0"/>
          <w:marRight w:val="0"/>
          <w:marTop w:val="0"/>
          <w:marBottom w:val="0"/>
          <w:divBdr>
            <w:top w:val="none" w:sz="0" w:space="0" w:color="auto"/>
            <w:left w:val="none" w:sz="0" w:space="0" w:color="auto"/>
            <w:bottom w:val="none" w:sz="0" w:space="0" w:color="auto"/>
            <w:right w:val="none" w:sz="0" w:space="0" w:color="auto"/>
          </w:divBdr>
        </w:div>
        <w:div w:id="223757729">
          <w:marLeft w:val="0"/>
          <w:marRight w:val="0"/>
          <w:marTop w:val="0"/>
          <w:marBottom w:val="0"/>
          <w:divBdr>
            <w:top w:val="none" w:sz="0" w:space="0" w:color="auto"/>
            <w:left w:val="none" w:sz="0" w:space="0" w:color="auto"/>
            <w:bottom w:val="none" w:sz="0" w:space="0" w:color="auto"/>
            <w:right w:val="none" w:sz="0" w:space="0" w:color="auto"/>
          </w:divBdr>
        </w:div>
        <w:div w:id="461074943">
          <w:marLeft w:val="0"/>
          <w:marRight w:val="0"/>
          <w:marTop w:val="0"/>
          <w:marBottom w:val="0"/>
          <w:divBdr>
            <w:top w:val="none" w:sz="0" w:space="0" w:color="auto"/>
            <w:left w:val="none" w:sz="0" w:space="0" w:color="auto"/>
            <w:bottom w:val="none" w:sz="0" w:space="0" w:color="auto"/>
            <w:right w:val="none" w:sz="0" w:space="0" w:color="auto"/>
          </w:divBdr>
        </w:div>
        <w:div w:id="1891108297">
          <w:marLeft w:val="0"/>
          <w:marRight w:val="0"/>
          <w:marTop w:val="0"/>
          <w:marBottom w:val="0"/>
          <w:divBdr>
            <w:top w:val="none" w:sz="0" w:space="0" w:color="auto"/>
            <w:left w:val="none" w:sz="0" w:space="0" w:color="auto"/>
            <w:bottom w:val="none" w:sz="0" w:space="0" w:color="auto"/>
            <w:right w:val="none" w:sz="0" w:space="0" w:color="auto"/>
          </w:divBdr>
        </w:div>
        <w:div w:id="1661419510">
          <w:marLeft w:val="0"/>
          <w:marRight w:val="0"/>
          <w:marTop w:val="0"/>
          <w:marBottom w:val="0"/>
          <w:divBdr>
            <w:top w:val="none" w:sz="0" w:space="0" w:color="auto"/>
            <w:left w:val="none" w:sz="0" w:space="0" w:color="auto"/>
            <w:bottom w:val="none" w:sz="0" w:space="0" w:color="auto"/>
            <w:right w:val="none" w:sz="0" w:space="0" w:color="auto"/>
          </w:divBdr>
        </w:div>
        <w:div w:id="1342901353">
          <w:marLeft w:val="0"/>
          <w:marRight w:val="0"/>
          <w:marTop w:val="0"/>
          <w:marBottom w:val="0"/>
          <w:divBdr>
            <w:top w:val="none" w:sz="0" w:space="0" w:color="auto"/>
            <w:left w:val="none" w:sz="0" w:space="0" w:color="auto"/>
            <w:bottom w:val="none" w:sz="0" w:space="0" w:color="auto"/>
            <w:right w:val="none" w:sz="0" w:space="0" w:color="auto"/>
          </w:divBdr>
        </w:div>
        <w:div w:id="884876998">
          <w:marLeft w:val="0"/>
          <w:marRight w:val="0"/>
          <w:marTop w:val="0"/>
          <w:marBottom w:val="0"/>
          <w:divBdr>
            <w:top w:val="none" w:sz="0" w:space="0" w:color="auto"/>
            <w:left w:val="none" w:sz="0" w:space="0" w:color="auto"/>
            <w:bottom w:val="none" w:sz="0" w:space="0" w:color="auto"/>
            <w:right w:val="none" w:sz="0" w:space="0" w:color="auto"/>
          </w:divBdr>
        </w:div>
        <w:div w:id="202518014">
          <w:marLeft w:val="0"/>
          <w:marRight w:val="0"/>
          <w:marTop w:val="0"/>
          <w:marBottom w:val="0"/>
          <w:divBdr>
            <w:top w:val="none" w:sz="0" w:space="0" w:color="auto"/>
            <w:left w:val="none" w:sz="0" w:space="0" w:color="auto"/>
            <w:bottom w:val="none" w:sz="0" w:space="0" w:color="auto"/>
            <w:right w:val="none" w:sz="0" w:space="0" w:color="auto"/>
          </w:divBdr>
        </w:div>
        <w:div w:id="750200865">
          <w:marLeft w:val="0"/>
          <w:marRight w:val="0"/>
          <w:marTop w:val="0"/>
          <w:marBottom w:val="0"/>
          <w:divBdr>
            <w:top w:val="none" w:sz="0" w:space="0" w:color="auto"/>
            <w:left w:val="none" w:sz="0" w:space="0" w:color="auto"/>
            <w:bottom w:val="none" w:sz="0" w:space="0" w:color="auto"/>
            <w:right w:val="none" w:sz="0" w:space="0" w:color="auto"/>
          </w:divBdr>
        </w:div>
        <w:div w:id="369885422">
          <w:marLeft w:val="0"/>
          <w:marRight w:val="0"/>
          <w:marTop w:val="0"/>
          <w:marBottom w:val="0"/>
          <w:divBdr>
            <w:top w:val="none" w:sz="0" w:space="0" w:color="auto"/>
            <w:left w:val="none" w:sz="0" w:space="0" w:color="auto"/>
            <w:bottom w:val="none" w:sz="0" w:space="0" w:color="auto"/>
            <w:right w:val="none" w:sz="0" w:space="0" w:color="auto"/>
          </w:divBdr>
        </w:div>
        <w:div w:id="1876651194">
          <w:marLeft w:val="0"/>
          <w:marRight w:val="0"/>
          <w:marTop w:val="0"/>
          <w:marBottom w:val="0"/>
          <w:divBdr>
            <w:top w:val="none" w:sz="0" w:space="0" w:color="auto"/>
            <w:left w:val="none" w:sz="0" w:space="0" w:color="auto"/>
            <w:bottom w:val="none" w:sz="0" w:space="0" w:color="auto"/>
            <w:right w:val="none" w:sz="0" w:space="0" w:color="auto"/>
          </w:divBdr>
        </w:div>
        <w:div w:id="1129514377">
          <w:marLeft w:val="0"/>
          <w:marRight w:val="0"/>
          <w:marTop w:val="0"/>
          <w:marBottom w:val="0"/>
          <w:divBdr>
            <w:top w:val="none" w:sz="0" w:space="0" w:color="auto"/>
            <w:left w:val="none" w:sz="0" w:space="0" w:color="auto"/>
            <w:bottom w:val="none" w:sz="0" w:space="0" w:color="auto"/>
            <w:right w:val="none" w:sz="0" w:space="0" w:color="auto"/>
          </w:divBdr>
        </w:div>
        <w:div w:id="1736508812">
          <w:marLeft w:val="0"/>
          <w:marRight w:val="0"/>
          <w:marTop w:val="0"/>
          <w:marBottom w:val="0"/>
          <w:divBdr>
            <w:top w:val="none" w:sz="0" w:space="0" w:color="auto"/>
            <w:left w:val="none" w:sz="0" w:space="0" w:color="auto"/>
            <w:bottom w:val="none" w:sz="0" w:space="0" w:color="auto"/>
            <w:right w:val="none" w:sz="0" w:space="0" w:color="auto"/>
          </w:divBdr>
        </w:div>
        <w:div w:id="1689990686">
          <w:marLeft w:val="0"/>
          <w:marRight w:val="0"/>
          <w:marTop w:val="0"/>
          <w:marBottom w:val="0"/>
          <w:divBdr>
            <w:top w:val="none" w:sz="0" w:space="0" w:color="auto"/>
            <w:left w:val="none" w:sz="0" w:space="0" w:color="auto"/>
            <w:bottom w:val="none" w:sz="0" w:space="0" w:color="auto"/>
            <w:right w:val="none" w:sz="0" w:space="0" w:color="auto"/>
          </w:divBdr>
        </w:div>
        <w:div w:id="882595531">
          <w:marLeft w:val="0"/>
          <w:marRight w:val="0"/>
          <w:marTop w:val="0"/>
          <w:marBottom w:val="0"/>
          <w:divBdr>
            <w:top w:val="none" w:sz="0" w:space="0" w:color="auto"/>
            <w:left w:val="none" w:sz="0" w:space="0" w:color="auto"/>
            <w:bottom w:val="none" w:sz="0" w:space="0" w:color="auto"/>
            <w:right w:val="none" w:sz="0" w:space="0" w:color="auto"/>
          </w:divBdr>
        </w:div>
        <w:div w:id="1550338544">
          <w:marLeft w:val="0"/>
          <w:marRight w:val="0"/>
          <w:marTop w:val="0"/>
          <w:marBottom w:val="0"/>
          <w:divBdr>
            <w:top w:val="none" w:sz="0" w:space="0" w:color="auto"/>
            <w:left w:val="none" w:sz="0" w:space="0" w:color="auto"/>
            <w:bottom w:val="none" w:sz="0" w:space="0" w:color="auto"/>
            <w:right w:val="none" w:sz="0" w:space="0" w:color="auto"/>
          </w:divBdr>
        </w:div>
        <w:div w:id="1317761947">
          <w:marLeft w:val="0"/>
          <w:marRight w:val="0"/>
          <w:marTop w:val="0"/>
          <w:marBottom w:val="0"/>
          <w:divBdr>
            <w:top w:val="none" w:sz="0" w:space="0" w:color="auto"/>
            <w:left w:val="none" w:sz="0" w:space="0" w:color="auto"/>
            <w:bottom w:val="none" w:sz="0" w:space="0" w:color="auto"/>
            <w:right w:val="none" w:sz="0" w:space="0" w:color="auto"/>
          </w:divBdr>
        </w:div>
        <w:div w:id="517038836">
          <w:marLeft w:val="0"/>
          <w:marRight w:val="0"/>
          <w:marTop w:val="0"/>
          <w:marBottom w:val="0"/>
          <w:divBdr>
            <w:top w:val="none" w:sz="0" w:space="0" w:color="auto"/>
            <w:left w:val="none" w:sz="0" w:space="0" w:color="auto"/>
            <w:bottom w:val="none" w:sz="0" w:space="0" w:color="auto"/>
            <w:right w:val="none" w:sz="0" w:space="0" w:color="auto"/>
          </w:divBdr>
        </w:div>
        <w:div w:id="670257495">
          <w:marLeft w:val="0"/>
          <w:marRight w:val="0"/>
          <w:marTop w:val="0"/>
          <w:marBottom w:val="0"/>
          <w:divBdr>
            <w:top w:val="none" w:sz="0" w:space="0" w:color="auto"/>
            <w:left w:val="none" w:sz="0" w:space="0" w:color="auto"/>
            <w:bottom w:val="none" w:sz="0" w:space="0" w:color="auto"/>
            <w:right w:val="none" w:sz="0" w:space="0" w:color="auto"/>
          </w:divBdr>
        </w:div>
        <w:div w:id="406806903">
          <w:marLeft w:val="0"/>
          <w:marRight w:val="0"/>
          <w:marTop w:val="0"/>
          <w:marBottom w:val="0"/>
          <w:divBdr>
            <w:top w:val="none" w:sz="0" w:space="0" w:color="auto"/>
            <w:left w:val="none" w:sz="0" w:space="0" w:color="auto"/>
            <w:bottom w:val="none" w:sz="0" w:space="0" w:color="auto"/>
            <w:right w:val="none" w:sz="0" w:space="0" w:color="auto"/>
          </w:divBdr>
        </w:div>
        <w:div w:id="1100947435">
          <w:marLeft w:val="0"/>
          <w:marRight w:val="0"/>
          <w:marTop w:val="0"/>
          <w:marBottom w:val="0"/>
          <w:divBdr>
            <w:top w:val="none" w:sz="0" w:space="0" w:color="auto"/>
            <w:left w:val="none" w:sz="0" w:space="0" w:color="auto"/>
            <w:bottom w:val="none" w:sz="0" w:space="0" w:color="auto"/>
            <w:right w:val="none" w:sz="0" w:space="0" w:color="auto"/>
          </w:divBdr>
        </w:div>
        <w:div w:id="488523558">
          <w:marLeft w:val="0"/>
          <w:marRight w:val="0"/>
          <w:marTop w:val="0"/>
          <w:marBottom w:val="0"/>
          <w:divBdr>
            <w:top w:val="none" w:sz="0" w:space="0" w:color="auto"/>
            <w:left w:val="none" w:sz="0" w:space="0" w:color="auto"/>
            <w:bottom w:val="none" w:sz="0" w:space="0" w:color="auto"/>
            <w:right w:val="none" w:sz="0" w:space="0" w:color="auto"/>
          </w:divBdr>
        </w:div>
        <w:div w:id="624771889">
          <w:marLeft w:val="0"/>
          <w:marRight w:val="0"/>
          <w:marTop w:val="0"/>
          <w:marBottom w:val="0"/>
          <w:divBdr>
            <w:top w:val="none" w:sz="0" w:space="0" w:color="auto"/>
            <w:left w:val="none" w:sz="0" w:space="0" w:color="auto"/>
            <w:bottom w:val="none" w:sz="0" w:space="0" w:color="auto"/>
            <w:right w:val="none" w:sz="0" w:space="0" w:color="auto"/>
          </w:divBdr>
        </w:div>
        <w:div w:id="1102846151">
          <w:marLeft w:val="0"/>
          <w:marRight w:val="0"/>
          <w:marTop w:val="0"/>
          <w:marBottom w:val="0"/>
          <w:divBdr>
            <w:top w:val="none" w:sz="0" w:space="0" w:color="auto"/>
            <w:left w:val="none" w:sz="0" w:space="0" w:color="auto"/>
            <w:bottom w:val="none" w:sz="0" w:space="0" w:color="auto"/>
            <w:right w:val="none" w:sz="0" w:space="0" w:color="auto"/>
          </w:divBdr>
        </w:div>
        <w:div w:id="1717120718">
          <w:marLeft w:val="0"/>
          <w:marRight w:val="0"/>
          <w:marTop w:val="0"/>
          <w:marBottom w:val="0"/>
          <w:divBdr>
            <w:top w:val="none" w:sz="0" w:space="0" w:color="auto"/>
            <w:left w:val="none" w:sz="0" w:space="0" w:color="auto"/>
            <w:bottom w:val="none" w:sz="0" w:space="0" w:color="auto"/>
            <w:right w:val="none" w:sz="0" w:space="0" w:color="auto"/>
          </w:divBdr>
        </w:div>
        <w:div w:id="419303621">
          <w:marLeft w:val="0"/>
          <w:marRight w:val="0"/>
          <w:marTop w:val="0"/>
          <w:marBottom w:val="0"/>
          <w:divBdr>
            <w:top w:val="none" w:sz="0" w:space="0" w:color="auto"/>
            <w:left w:val="none" w:sz="0" w:space="0" w:color="auto"/>
            <w:bottom w:val="none" w:sz="0" w:space="0" w:color="auto"/>
            <w:right w:val="none" w:sz="0" w:space="0" w:color="auto"/>
          </w:divBdr>
        </w:div>
        <w:div w:id="1810052850">
          <w:marLeft w:val="0"/>
          <w:marRight w:val="0"/>
          <w:marTop w:val="0"/>
          <w:marBottom w:val="0"/>
          <w:divBdr>
            <w:top w:val="none" w:sz="0" w:space="0" w:color="auto"/>
            <w:left w:val="none" w:sz="0" w:space="0" w:color="auto"/>
            <w:bottom w:val="none" w:sz="0" w:space="0" w:color="auto"/>
            <w:right w:val="none" w:sz="0" w:space="0" w:color="auto"/>
          </w:divBdr>
        </w:div>
        <w:div w:id="112788733">
          <w:marLeft w:val="0"/>
          <w:marRight w:val="0"/>
          <w:marTop w:val="0"/>
          <w:marBottom w:val="0"/>
          <w:divBdr>
            <w:top w:val="none" w:sz="0" w:space="0" w:color="auto"/>
            <w:left w:val="none" w:sz="0" w:space="0" w:color="auto"/>
            <w:bottom w:val="none" w:sz="0" w:space="0" w:color="auto"/>
            <w:right w:val="none" w:sz="0" w:space="0" w:color="auto"/>
          </w:divBdr>
        </w:div>
        <w:div w:id="1677804500">
          <w:marLeft w:val="0"/>
          <w:marRight w:val="0"/>
          <w:marTop w:val="0"/>
          <w:marBottom w:val="0"/>
          <w:divBdr>
            <w:top w:val="none" w:sz="0" w:space="0" w:color="auto"/>
            <w:left w:val="none" w:sz="0" w:space="0" w:color="auto"/>
            <w:bottom w:val="none" w:sz="0" w:space="0" w:color="auto"/>
            <w:right w:val="none" w:sz="0" w:space="0" w:color="auto"/>
          </w:divBdr>
        </w:div>
        <w:div w:id="756246095">
          <w:marLeft w:val="0"/>
          <w:marRight w:val="0"/>
          <w:marTop w:val="0"/>
          <w:marBottom w:val="0"/>
          <w:divBdr>
            <w:top w:val="none" w:sz="0" w:space="0" w:color="auto"/>
            <w:left w:val="none" w:sz="0" w:space="0" w:color="auto"/>
            <w:bottom w:val="none" w:sz="0" w:space="0" w:color="auto"/>
            <w:right w:val="none" w:sz="0" w:space="0" w:color="auto"/>
          </w:divBdr>
        </w:div>
        <w:div w:id="361367991">
          <w:marLeft w:val="0"/>
          <w:marRight w:val="0"/>
          <w:marTop w:val="0"/>
          <w:marBottom w:val="0"/>
          <w:divBdr>
            <w:top w:val="none" w:sz="0" w:space="0" w:color="auto"/>
            <w:left w:val="none" w:sz="0" w:space="0" w:color="auto"/>
            <w:bottom w:val="none" w:sz="0" w:space="0" w:color="auto"/>
            <w:right w:val="none" w:sz="0" w:space="0" w:color="auto"/>
          </w:divBdr>
        </w:div>
        <w:div w:id="860779641">
          <w:marLeft w:val="0"/>
          <w:marRight w:val="0"/>
          <w:marTop w:val="0"/>
          <w:marBottom w:val="0"/>
          <w:divBdr>
            <w:top w:val="none" w:sz="0" w:space="0" w:color="auto"/>
            <w:left w:val="none" w:sz="0" w:space="0" w:color="auto"/>
            <w:bottom w:val="none" w:sz="0" w:space="0" w:color="auto"/>
            <w:right w:val="none" w:sz="0" w:space="0" w:color="auto"/>
          </w:divBdr>
        </w:div>
        <w:div w:id="1664165733">
          <w:marLeft w:val="0"/>
          <w:marRight w:val="0"/>
          <w:marTop w:val="0"/>
          <w:marBottom w:val="0"/>
          <w:divBdr>
            <w:top w:val="none" w:sz="0" w:space="0" w:color="auto"/>
            <w:left w:val="none" w:sz="0" w:space="0" w:color="auto"/>
            <w:bottom w:val="none" w:sz="0" w:space="0" w:color="auto"/>
            <w:right w:val="none" w:sz="0" w:space="0" w:color="auto"/>
          </w:divBdr>
        </w:div>
        <w:div w:id="1926382701">
          <w:marLeft w:val="0"/>
          <w:marRight w:val="0"/>
          <w:marTop w:val="0"/>
          <w:marBottom w:val="0"/>
          <w:divBdr>
            <w:top w:val="none" w:sz="0" w:space="0" w:color="auto"/>
            <w:left w:val="none" w:sz="0" w:space="0" w:color="auto"/>
            <w:bottom w:val="none" w:sz="0" w:space="0" w:color="auto"/>
            <w:right w:val="none" w:sz="0" w:space="0" w:color="auto"/>
          </w:divBdr>
        </w:div>
        <w:div w:id="2029792483">
          <w:marLeft w:val="0"/>
          <w:marRight w:val="0"/>
          <w:marTop w:val="0"/>
          <w:marBottom w:val="0"/>
          <w:divBdr>
            <w:top w:val="none" w:sz="0" w:space="0" w:color="auto"/>
            <w:left w:val="none" w:sz="0" w:space="0" w:color="auto"/>
            <w:bottom w:val="none" w:sz="0" w:space="0" w:color="auto"/>
            <w:right w:val="none" w:sz="0" w:space="0" w:color="auto"/>
          </w:divBdr>
        </w:div>
        <w:div w:id="454833185">
          <w:marLeft w:val="0"/>
          <w:marRight w:val="0"/>
          <w:marTop w:val="0"/>
          <w:marBottom w:val="0"/>
          <w:divBdr>
            <w:top w:val="none" w:sz="0" w:space="0" w:color="auto"/>
            <w:left w:val="none" w:sz="0" w:space="0" w:color="auto"/>
            <w:bottom w:val="none" w:sz="0" w:space="0" w:color="auto"/>
            <w:right w:val="none" w:sz="0" w:space="0" w:color="auto"/>
          </w:divBdr>
        </w:div>
        <w:div w:id="1922712135">
          <w:marLeft w:val="0"/>
          <w:marRight w:val="0"/>
          <w:marTop w:val="0"/>
          <w:marBottom w:val="0"/>
          <w:divBdr>
            <w:top w:val="none" w:sz="0" w:space="0" w:color="auto"/>
            <w:left w:val="none" w:sz="0" w:space="0" w:color="auto"/>
            <w:bottom w:val="none" w:sz="0" w:space="0" w:color="auto"/>
            <w:right w:val="none" w:sz="0" w:space="0" w:color="auto"/>
          </w:divBdr>
        </w:div>
        <w:div w:id="1022852440">
          <w:marLeft w:val="0"/>
          <w:marRight w:val="0"/>
          <w:marTop w:val="0"/>
          <w:marBottom w:val="0"/>
          <w:divBdr>
            <w:top w:val="none" w:sz="0" w:space="0" w:color="auto"/>
            <w:left w:val="none" w:sz="0" w:space="0" w:color="auto"/>
            <w:bottom w:val="none" w:sz="0" w:space="0" w:color="auto"/>
            <w:right w:val="none" w:sz="0" w:space="0" w:color="auto"/>
          </w:divBdr>
        </w:div>
        <w:div w:id="914438153">
          <w:marLeft w:val="0"/>
          <w:marRight w:val="0"/>
          <w:marTop w:val="0"/>
          <w:marBottom w:val="0"/>
          <w:divBdr>
            <w:top w:val="none" w:sz="0" w:space="0" w:color="auto"/>
            <w:left w:val="none" w:sz="0" w:space="0" w:color="auto"/>
            <w:bottom w:val="none" w:sz="0" w:space="0" w:color="auto"/>
            <w:right w:val="none" w:sz="0" w:space="0" w:color="auto"/>
          </w:divBdr>
        </w:div>
        <w:div w:id="1215778091">
          <w:marLeft w:val="0"/>
          <w:marRight w:val="0"/>
          <w:marTop w:val="0"/>
          <w:marBottom w:val="0"/>
          <w:divBdr>
            <w:top w:val="none" w:sz="0" w:space="0" w:color="auto"/>
            <w:left w:val="none" w:sz="0" w:space="0" w:color="auto"/>
            <w:bottom w:val="none" w:sz="0" w:space="0" w:color="auto"/>
            <w:right w:val="none" w:sz="0" w:space="0" w:color="auto"/>
          </w:divBdr>
        </w:div>
        <w:div w:id="362749684">
          <w:marLeft w:val="0"/>
          <w:marRight w:val="0"/>
          <w:marTop w:val="0"/>
          <w:marBottom w:val="0"/>
          <w:divBdr>
            <w:top w:val="none" w:sz="0" w:space="0" w:color="auto"/>
            <w:left w:val="none" w:sz="0" w:space="0" w:color="auto"/>
            <w:bottom w:val="none" w:sz="0" w:space="0" w:color="auto"/>
            <w:right w:val="none" w:sz="0" w:space="0" w:color="auto"/>
          </w:divBdr>
        </w:div>
        <w:div w:id="340401601">
          <w:marLeft w:val="0"/>
          <w:marRight w:val="0"/>
          <w:marTop w:val="0"/>
          <w:marBottom w:val="0"/>
          <w:divBdr>
            <w:top w:val="none" w:sz="0" w:space="0" w:color="auto"/>
            <w:left w:val="none" w:sz="0" w:space="0" w:color="auto"/>
            <w:bottom w:val="none" w:sz="0" w:space="0" w:color="auto"/>
            <w:right w:val="none" w:sz="0" w:space="0" w:color="auto"/>
          </w:divBdr>
        </w:div>
        <w:div w:id="1399783929">
          <w:marLeft w:val="0"/>
          <w:marRight w:val="0"/>
          <w:marTop w:val="0"/>
          <w:marBottom w:val="0"/>
          <w:divBdr>
            <w:top w:val="none" w:sz="0" w:space="0" w:color="auto"/>
            <w:left w:val="none" w:sz="0" w:space="0" w:color="auto"/>
            <w:bottom w:val="none" w:sz="0" w:space="0" w:color="auto"/>
            <w:right w:val="none" w:sz="0" w:space="0" w:color="auto"/>
          </w:divBdr>
        </w:div>
      </w:divsChild>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30841510">
      <w:bodyDiv w:val="1"/>
      <w:marLeft w:val="0"/>
      <w:marRight w:val="0"/>
      <w:marTop w:val="0"/>
      <w:marBottom w:val="0"/>
      <w:divBdr>
        <w:top w:val="none" w:sz="0" w:space="0" w:color="auto"/>
        <w:left w:val="none" w:sz="0" w:space="0" w:color="auto"/>
        <w:bottom w:val="none" w:sz="0" w:space="0" w:color="auto"/>
        <w:right w:val="none" w:sz="0" w:space="0" w:color="auto"/>
      </w:divBdr>
      <w:divsChild>
        <w:div w:id="1662541331">
          <w:marLeft w:val="0"/>
          <w:marRight w:val="0"/>
          <w:marTop w:val="0"/>
          <w:marBottom w:val="0"/>
          <w:divBdr>
            <w:top w:val="none" w:sz="0" w:space="0" w:color="auto"/>
            <w:left w:val="none" w:sz="0" w:space="0" w:color="auto"/>
            <w:bottom w:val="none" w:sz="0" w:space="0" w:color="auto"/>
            <w:right w:val="none" w:sz="0" w:space="0" w:color="auto"/>
          </w:divBdr>
        </w:div>
        <w:div w:id="774982052">
          <w:marLeft w:val="0"/>
          <w:marRight w:val="0"/>
          <w:marTop w:val="0"/>
          <w:marBottom w:val="0"/>
          <w:divBdr>
            <w:top w:val="none" w:sz="0" w:space="0" w:color="auto"/>
            <w:left w:val="none" w:sz="0" w:space="0" w:color="auto"/>
            <w:bottom w:val="none" w:sz="0" w:space="0" w:color="auto"/>
            <w:right w:val="none" w:sz="0" w:space="0" w:color="auto"/>
          </w:divBdr>
        </w:div>
      </w:divsChild>
    </w:div>
    <w:div w:id="1032923472">
      <w:bodyDiv w:val="1"/>
      <w:marLeft w:val="0"/>
      <w:marRight w:val="0"/>
      <w:marTop w:val="0"/>
      <w:marBottom w:val="0"/>
      <w:divBdr>
        <w:top w:val="none" w:sz="0" w:space="0" w:color="auto"/>
        <w:left w:val="none" w:sz="0" w:space="0" w:color="auto"/>
        <w:bottom w:val="none" w:sz="0" w:space="0" w:color="auto"/>
        <w:right w:val="none" w:sz="0" w:space="0" w:color="auto"/>
      </w:divBdr>
      <w:divsChild>
        <w:div w:id="389572132">
          <w:marLeft w:val="0"/>
          <w:marRight w:val="0"/>
          <w:marTop w:val="0"/>
          <w:marBottom w:val="0"/>
          <w:divBdr>
            <w:top w:val="none" w:sz="0" w:space="0" w:color="auto"/>
            <w:left w:val="none" w:sz="0" w:space="0" w:color="auto"/>
            <w:bottom w:val="none" w:sz="0" w:space="0" w:color="auto"/>
            <w:right w:val="none" w:sz="0" w:space="0" w:color="auto"/>
          </w:divBdr>
        </w:div>
        <w:div w:id="34409578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304115640">
      <w:bodyDiv w:val="1"/>
      <w:marLeft w:val="0"/>
      <w:marRight w:val="0"/>
      <w:marTop w:val="0"/>
      <w:marBottom w:val="0"/>
      <w:divBdr>
        <w:top w:val="none" w:sz="0" w:space="0" w:color="auto"/>
        <w:left w:val="none" w:sz="0" w:space="0" w:color="auto"/>
        <w:bottom w:val="none" w:sz="0" w:space="0" w:color="auto"/>
        <w:right w:val="none" w:sz="0" w:space="0" w:color="auto"/>
      </w:divBdr>
      <w:divsChild>
        <w:div w:id="636179916">
          <w:marLeft w:val="0"/>
          <w:marRight w:val="0"/>
          <w:marTop w:val="0"/>
          <w:marBottom w:val="0"/>
          <w:divBdr>
            <w:top w:val="none" w:sz="0" w:space="0" w:color="auto"/>
            <w:left w:val="none" w:sz="0" w:space="0" w:color="auto"/>
            <w:bottom w:val="none" w:sz="0" w:space="0" w:color="auto"/>
            <w:right w:val="none" w:sz="0" w:space="0" w:color="auto"/>
          </w:divBdr>
        </w:div>
        <w:div w:id="587883412">
          <w:marLeft w:val="0"/>
          <w:marRight w:val="0"/>
          <w:marTop w:val="0"/>
          <w:marBottom w:val="0"/>
          <w:divBdr>
            <w:top w:val="none" w:sz="0" w:space="0" w:color="auto"/>
            <w:left w:val="none" w:sz="0" w:space="0" w:color="auto"/>
            <w:bottom w:val="none" w:sz="0" w:space="0" w:color="auto"/>
            <w:right w:val="none" w:sz="0" w:space="0" w:color="auto"/>
          </w:divBdr>
        </w:div>
      </w:divsChild>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15267861">
      <w:bodyDiv w:val="1"/>
      <w:marLeft w:val="0"/>
      <w:marRight w:val="0"/>
      <w:marTop w:val="0"/>
      <w:marBottom w:val="0"/>
      <w:divBdr>
        <w:top w:val="none" w:sz="0" w:space="0" w:color="auto"/>
        <w:left w:val="none" w:sz="0" w:space="0" w:color="auto"/>
        <w:bottom w:val="none" w:sz="0" w:space="0" w:color="auto"/>
        <w:right w:val="none" w:sz="0" w:space="0" w:color="auto"/>
      </w:divBdr>
      <w:divsChild>
        <w:div w:id="1611664537">
          <w:marLeft w:val="0"/>
          <w:marRight w:val="0"/>
          <w:marTop w:val="0"/>
          <w:marBottom w:val="0"/>
          <w:divBdr>
            <w:top w:val="none" w:sz="0" w:space="0" w:color="auto"/>
            <w:left w:val="none" w:sz="0" w:space="0" w:color="auto"/>
            <w:bottom w:val="none" w:sz="0" w:space="0" w:color="auto"/>
            <w:right w:val="none" w:sz="0" w:space="0" w:color="auto"/>
          </w:divBdr>
        </w:div>
        <w:div w:id="1717121266">
          <w:marLeft w:val="0"/>
          <w:marRight w:val="0"/>
          <w:marTop w:val="0"/>
          <w:marBottom w:val="0"/>
          <w:divBdr>
            <w:top w:val="none" w:sz="0" w:space="0" w:color="auto"/>
            <w:left w:val="none" w:sz="0" w:space="0" w:color="auto"/>
            <w:bottom w:val="none" w:sz="0" w:space="0" w:color="auto"/>
            <w:right w:val="none" w:sz="0" w:space="0" w:color="auto"/>
          </w:divBdr>
        </w:div>
      </w:divsChild>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7377505">
      <w:bodyDiv w:val="1"/>
      <w:marLeft w:val="0"/>
      <w:marRight w:val="0"/>
      <w:marTop w:val="0"/>
      <w:marBottom w:val="0"/>
      <w:divBdr>
        <w:top w:val="none" w:sz="0" w:space="0" w:color="auto"/>
        <w:left w:val="none" w:sz="0" w:space="0" w:color="auto"/>
        <w:bottom w:val="none" w:sz="0" w:space="0" w:color="auto"/>
        <w:right w:val="none" w:sz="0" w:space="0" w:color="auto"/>
      </w:divBdr>
      <w:divsChild>
        <w:div w:id="1979871239">
          <w:marLeft w:val="0"/>
          <w:marRight w:val="0"/>
          <w:marTop w:val="0"/>
          <w:marBottom w:val="0"/>
          <w:divBdr>
            <w:top w:val="none" w:sz="0" w:space="0" w:color="auto"/>
            <w:left w:val="none" w:sz="0" w:space="0" w:color="auto"/>
            <w:bottom w:val="none" w:sz="0" w:space="0" w:color="auto"/>
            <w:right w:val="none" w:sz="0" w:space="0" w:color="auto"/>
          </w:divBdr>
        </w:div>
        <w:div w:id="1962376780">
          <w:marLeft w:val="0"/>
          <w:marRight w:val="0"/>
          <w:marTop w:val="0"/>
          <w:marBottom w:val="0"/>
          <w:divBdr>
            <w:top w:val="none" w:sz="0" w:space="0" w:color="auto"/>
            <w:left w:val="none" w:sz="0" w:space="0" w:color="auto"/>
            <w:bottom w:val="none" w:sz="0" w:space="0" w:color="auto"/>
            <w:right w:val="none" w:sz="0" w:space="0" w:color="auto"/>
          </w:divBdr>
        </w:div>
      </w:divsChild>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45890975">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3.xml><?xml version="1.0" encoding="utf-8"?>
<ds:datastoreItem xmlns:ds="http://schemas.openxmlformats.org/officeDocument/2006/customXml" ds:itemID="{50528F9D-3DAE-4995-A825-85FC50FDD8BE}"/>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1272</Words>
  <Characters>7420</Characters>
  <Application>Microsoft Office Word</Application>
  <DocSecurity>0</DocSecurity>
  <Lines>190</Lines>
  <Paragraphs>163</Paragraphs>
  <ScaleCrop>false</ScaleCrop>
  <HeadingPairs>
    <vt:vector size="2" baseType="variant">
      <vt:variant>
        <vt:lpstr>Title</vt:lpstr>
      </vt:variant>
      <vt:variant>
        <vt:i4>1</vt:i4>
      </vt:variant>
    </vt:vector>
  </HeadingPairs>
  <TitlesOfParts>
    <vt:vector size="1" baseType="lpstr">
      <vt:lpstr>Antiemetic NK1 PA with Limit Policy 77-C UDR 01-2024a</vt:lpstr>
    </vt:vector>
  </TitlesOfParts>
  <Company/>
  <LinksUpToDate>false</LinksUpToDate>
  <CharactersWithSpaces>8529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Antiemetic NK1 PA with Limit 77-C</dc:title>
  <dc:subject>Antiemetic NK1 PA with Limit 77-C</dc:subject>
  <dc:creator>CVS Caremark</dc:creator>
  <cp:keywords/>
  <cp:lastModifiedBy>Huerta, Linda M</cp:lastModifiedBy>
  <cp:revision>6</cp:revision>
  <cp:lastPrinted>2024-04-05T17:11:00Z</cp:lastPrinted>
  <dcterms:created xsi:type="dcterms:W3CDTF">2025-04-17T15:18:00Z</dcterms:created>
  <dcterms:modified xsi:type="dcterms:W3CDTF">2025-04-24T19:59:00Z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2491300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